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A606" w14:textId="77777777" w:rsidR="00184B81" w:rsidRDefault="005D24E7" w:rsidP="00D22350">
      <w:pPr>
        <w:jc w:val="center"/>
        <w:rPr>
          <w:b/>
        </w:rPr>
      </w:pPr>
      <w:r>
        <w:rPr>
          <w:noProof/>
        </w:rPr>
        <w:object w:dxaOrig="1440" w:dyaOrig="1440" w14:anchorId="2E5DC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6.05pt;margin-top:-42pt;width:521.4pt;height:145.6pt;z-index:251657728;visibility:visible;mso-wrap-edited:f">
            <v:imagedata r:id="rId7" o:title=""/>
            <w10:wrap type="topAndBottom"/>
          </v:shape>
          <o:OLEObject Type="Embed" ProgID="Word.Picture.8" ShapeID="_x0000_s2057" DrawAspect="Content" ObjectID="_1778396298" r:id="rId8"/>
        </w:object>
      </w:r>
      <w:r w:rsidR="00533C31">
        <w:rPr>
          <w:b/>
        </w:rPr>
        <w:t xml:space="preserve">JOHN HANCOCK </w:t>
      </w:r>
      <w:r w:rsidR="00D56A0E">
        <w:rPr>
          <w:b/>
        </w:rPr>
        <w:t>PREMIUM DIVIDEND</w:t>
      </w:r>
      <w:r w:rsidR="00C45B5D">
        <w:rPr>
          <w:b/>
        </w:rPr>
        <w:t xml:space="preserve"> FUND</w:t>
      </w:r>
    </w:p>
    <w:p w14:paraId="53332AF1" w14:textId="77777777" w:rsidR="00D53CC1" w:rsidRDefault="00D47675" w:rsidP="00673368">
      <w:pPr>
        <w:ind w:left="-90"/>
        <w:jc w:val="center"/>
        <w:rPr>
          <w:b/>
        </w:rPr>
      </w:pPr>
      <w:r>
        <w:rPr>
          <w:b/>
        </w:rPr>
        <w:t>N</w:t>
      </w:r>
      <w:r w:rsidR="0092748E">
        <w:rPr>
          <w:b/>
        </w:rPr>
        <w:t>OTICE TO SHAREHOLDERS – SOURCES OF DISTRIBUTION UNDER SECTION 19(</w:t>
      </w:r>
      <w:r w:rsidR="00E05715">
        <w:rPr>
          <w:b/>
        </w:rPr>
        <w:t>a</w:t>
      </w:r>
      <w:r w:rsidR="0092748E">
        <w:rPr>
          <w:b/>
        </w:rPr>
        <w:t>)</w:t>
      </w:r>
    </w:p>
    <w:p w14:paraId="6D0335A4" w14:textId="77777777" w:rsidR="00BF790D" w:rsidRPr="00AC7337" w:rsidRDefault="00BF790D" w:rsidP="00546957">
      <w:pPr>
        <w:rPr>
          <w:b/>
          <w:bCs/>
          <w:sz w:val="20"/>
          <w:szCs w:val="20"/>
        </w:rPr>
      </w:pPr>
    </w:p>
    <w:p w14:paraId="2F2DC978" w14:textId="44989A53" w:rsidR="00E66F45" w:rsidRDefault="00533C31" w:rsidP="00F14A25">
      <w:pPr>
        <w:jc w:val="both"/>
        <w:rPr>
          <w:sz w:val="22"/>
          <w:szCs w:val="20"/>
        </w:rPr>
      </w:pPr>
      <w:r w:rsidRPr="00644A32">
        <w:rPr>
          <w:b/>
          <w:bCs/>
          <w:sz w:val="22"/>
          <w:szCs w:val="20"/>
        </w:rPr>
        <w:t>BOSTON,</w:t>
      </w:r>
      <w:r w:rsidR="00426BC2" w:rsidRPr="00644A32">
        <w:rPr>
          <w:b/>
          <w:bCs/>
          <w:sz w:val="22"/>
          <w:szCs w:val="20"/>
        </w:rPr>
        <w:t xml:space="preserve"> MA (</w:t>
      </w:r>
      <w:r w:rsidR="00DA133B">
        <w:rPr>
          <w:b/>
          <w:bCs/>
          <w:sz w:val="22"/>
          <w:szCs w:val="20"/>
        </w:rPr>
        <w:t>May 31</w:t>
      </w:r>
      <w:r w:rsidR="00F66965">
        <w:rPr>
          <w:b/>
          <w:bCs/>
          <w:sz w:val="22"/>
          <w:szCs w:val="20"/>
        </w:rPr>
        <w:t>, 2024</w:t>
      </w:r>
      <w:r w:rsidR="00426BC2" w:rsidRPr="00644A32">
        <w:rPr>
          <w:b/>
          <w:bCs/>
          <w:sz w:val="22"/>
          <w:szCs w:val="20"/>
        </w:rPr>
        <w:t>)</w:t>
      </w:r>
      <w:r w:rsidR="00426BC2" w:rsidRPr="00644A32">
        <w:rPr>
          <w:sz w:val="22"/>
          <w:szCs w:val="20"/>
        </w:rPr>
        <w:t xml:space="preserve"> – </w:t>
      </w:r>
      <w:r w:rsidR="00C45B5D" w:rsidRPr="00644A32">
        <w:rPr>
          <w:sz w:val="22"/>
          <w:szCs w:val="20"/>
        </w:rPr>
        <w:t>J</w:t>
      </w:r>
      <w:r w:rsidRPr="00644A32">
        <w:rPr>
          <w:sz w:val="22"/>
          <w:szCs w:val="20"/>
        </w:rPr>
        <w:t>ohn Hancock</w:t>
      </w:r>
      <w:r w:rsidR="00C45B5D" w:rsidRPr="00644A32">
        <w:rPr>
          <w:sz w:val="22"/>
          <w:szCs w:val="20"/>
        </w:rPr>
        <w:t xml:space="preserve"> </w:t>
      </w:r>
      <w:r w:rsidR="00D56A0E" w:rsidRPr="00644A32">
        <w:rPr>
          <w:sz w:val="22"/>
          <w:szCs w:val="20"/>
        </w:rPr>
        <w:t>Premium Dividend</w:t>
      </w:r>
      <w:r w:rsidR="00C45B5D" w:rsidRPr="00644A32">
        <w:rPr>
          <w:sz w:val="22"/>
          <w:szCs w:val="20"/>
        </w:rPr>
        <w:t xml:space="preserve"> Fund (NYSE: </w:t>
      </w:r>
      <w:r w:rsidR="00D56A0E" w:rsidRPr="00644A32">
        <w:rPr>
          <w:sz w:val="22"/>
          <w:szCs w:val="20"/>
        </w:rPr>
        <w:t>PDT</w:t>
      </w:r>
      <w:r w:rsidR="00C45B5D" w:rsidRPr="00644A32">
        <w:rPr>
          <w:sz w:val="22"/>
          <w:szCs w:val="20"/>
        </w:rPr>
        <w:t xml:space="preserve">) (the “Fund”), a closed-end fund managed by John Hancock </w:t>
      </w:r>
      <w:r w:rsidR="00F31864">
        <w:rPr>
          <w:sz w:val="22"/>
          <w:szCs w:val="20"/>
        </w:rPr>
        <w:t>Investment Management</w:t>
      </w:r>
      <w:r w:rsidR="00C45B5D" w:rsidRPr="00644A32">
        <w:rPr>
          <w:sz w:val="22"/>
          <w:szCs w:val="20"/>
        </w:rPr>
        <w:t xml:space="preserve"> LLC and </w:t>
      </w:r>
      <w:proofErr w:type="spellStart"/>
      <w:r w:rsidR="00C45B5D" w:rsidRPr="00644A32">
        <w:rPr>
          <w:sz w:val="22"/>
          <w:szCs w:val="20"/>
        </w:rPr>
        <w:t>subadvised</w:t>
      </w:r>
      <w:proofErr w:type="spellEnd"/>
      <w:r w:rsidR="00C45B5D" w:rsidRPr="00644A32">
        <w:rPr>
          <w:sz w:val="22"/>
          <w:szCs w:val="20"/>
        </w:rPr>
        <w:t xml:space="preserve"> by </w:t>
      </w:r>
      <w:r w:rsidR="00D56A0E" w:rsidRPr="00644A32">
        <w:rPr>
          <w:sz w:val="22"/>
          <w:szCs w:val="20"/>
        </w:rPr>
        <w:t xml:space="preserve">Manulife </w:t>
      </w:r>
      <w:r w:rsidR="009C37DC">
        <w:rPr>
          <w:sz w:val="22"/>
          <w:szCs w:val="20"/>
        </w:rPr>
        <w:t>Investment</w:t>
      </w:r>
      <w:r w:rsidR="00D56A0E" w:rsidRPr="00644A32">
        <w:rPr>
          <w:sz w:val="22"/>
          <w:szCs w:val="20"/>
        </w:rPr>
        <w:t xml:space="preserve"> Management</w:t>
      </w:r>
      <w:r w:rsidR="003D3A3A" w:rsidRPr="00644A32">
        <w:rPr>
          <w:sz w:val="22"/>
          <w:szCs w:val="20"/>
        </w:rPr>
        <w:t xml:space="preserve"> (US) LLC</w:t>
      </w:r>
      <w:r w:rsidR="00C45B5D" w:rsidRPr="00644A32">
        <w:rPr>
          <w:sz w:val="22"/>
          <w:szCs w:val="20"/>
        </w:rPr>
        <w:t xml:space="preserve">, announced today </w:t>
      </w:r>
      <w:r w:rsidR="00304777" w:rsidRPr="00644A32">
        <w:rPr>
          <w:sz w:val="22"/>
          <w:szCs w:val="20"/>
        </w:rPr>
        <w:t xml:space="preserve">sources of </w:t>
      </w:r>
      <w:r w:rsidR="00537834" w:rsidRPr="00644A32">
        <w:rPr>
          <w:sz w:val="22"/>
          <w:szCs w:val="20"/>
        </w:rPr>
        <w:t xml:space="preserve">its </w:t>
      </w:r>
      <w:r w:rsidR="007D02AE" w:rsidRPr="00644A32">
        <w:rPr>
          <w:sz w:val="22"/>
          <w:szCs w:val="20"/>
        </w:rPr>
        <w:t>monthly</w:t>
      </w:r>
      <w:r w:rsidR="00492144" w:rsidRPr="00644A32">
        <w:rPr>
          <w:sz w:val="22"/>
          <w:szCs w:val="20"/>
        </w:rPr>
        <w:t xml:space="preserve"> </w:t>
      </w:r>
      <w:r w:rsidR="00304777" w:rsidRPr="00644A32">
        <w:rPr>
          <w:sz w:val="22"/>
          <w:szCs w:val="20"/>
        </w:rPr>
        <w:t xml:space="preserve">distribution </w:t>
      </w:r>
      <w:r w:rsidR="00AB1D2F" w:rsidRPr="00644A32">
        <w:rPr>
          <w:sz w:val="22"/>
          <w:szCs w:val="20"/>
        </w:rPr>
        <w:t>of $0.</w:t>
      </w:r>
      <w:r w:rsidR="00D56A0E" w:rsidRPr="00644A32">
        <w:rPr>
          <w:sz w:val="22"/>
          <w:szCs w:val="20"/>
        </w:rPr>
        <w:t>0</w:t>
      </w:r>
      <w:r w:rsidR="00EB41F3">
        <w:rPr>
          <w:sz w:val="22"/>
          <w:szCs w:val="20"/>
        </w:rPr>
        <w:t>82</w:t>
      </w:r>
      <w:r w:rsidR="00E66F45" w:rsidRPr="00644A32">
        <w:rPr>
          <w:sz w:val="22"/>
          <w:szCs w:val="20"/>
        </w:rPr>
        <w:t>5</w:t>
      </w:r>
      <w:r w:rsidR="00BD659A" w:rsidRPr="00644A32">
        <w:rPr>
          <w:sz w:val="22"/>
          <w:szCs w:val="20"/>
        </w:rPr>
        <w:t xml:space="preserve"> </w:t>
      </w:r>
      <w:r w:rsidR="00AB1D2F" w:rsidRPr="00644A32">
        <w:rPr>
          <w:sz w:val="22"/>
          <w:szCs w:val="20"/>
        </w:rPr>
        <w:t xml:space="preserve">per share </w:t>
      </w:r>
      <w:r w:rsidR="00E03D11" w:rsidRPr="00644A32">
        <w:rPr>
          <w:sz w:val="22"/>
          <w:szCs w:val="20"/>
        </w:rPr>
        <w:t>paid</w:t>
      </w:r>
      <w:r w:rsidR="00304777" w:rsidRPr="00644A32">
        <w:rPr>
          <w:sz w:val="22"/>
          <w:szCs w:val="20"/>
        </w:rPr>
        <w:t xml:space="preserve"> </w:t>
      </w:r>
      <w:r w:rsidR="00AB1D2F" w:rsidRPr="00644A32">
        <w:rPr>
          <w:sz w:val="22"/>
          <w:szCs w:val="20"/>
        </w:rPr>
        <w:t xml:space="preserve">to all </w:t>
      </w:r>
      <w:r w:rsidR="00D92503" w:rsidRPr="00644A32">
        <w:rPr>
          <w:sz w:val="22"/>
          <w:szCs w:val="20"/>
        </w:rPr>
        <w:t xml:space="preserve">shareholders of record as of </w:t>
      </w:r>
      <w:r w:rsidR="00DA133B">
        <w:rPr>
          <w:sz w:val="22"/>
          <w:szCs w:val="22"/>
        </w:rPr>
        <w:t xml:space="preserve">May </w:t>
      </w:r>
      <w:r w:rsidR="005663A4">
        <w:rPr>
          <w:sz w:val="22"/>
          <w:szCs w:val="22"/>
        </w:rPr>
        <w:t>1</w:t>
      </w:r>
      <w:r w:rsidR="005D24E7">
        <w:rPr>
          <w:sz w:val="22"/>
          <w:szCs w:val="22"/>
        </w:rPr>
        <w:t>3</w:t>
      </w:r>
      <w:r w:rsidR="00F66965">
        <w:rPr>
          <w:sz w:val="22"/>
          <w:szCs w:val="22"/>
        </w:rPr>
        <w:t>, 2024</w:t>
      </w:r>
      <w:r w:rsidR="003E15C3" w:rsidRPr="00644A32">
        <w:rPr>
          <w:sz w:val="22"/>
          <w:szCs w:val="20"/>
        </w:rPr>
        <w:t xml:space="preserve">, </w:t>
      </w:r>
      <w:r w:rsidR="00537834" w:rsidRPr="00644A32">
        <w:rPr>
          <w:sz w:val="22"/>
          <w:szCs w:val="20"/>
        </w:rPr>
        <w:t>pursuant to the Fund’s managed distribution plan.</w:t>
      </w:r>
      <w:r w:rsidR="0069318C" w:rsidRPr="0069318C">
        <w:t xml:space="preserve"> </w:t>
      </w:r>
      <w:r w:rsidR="0069318C" w:rsidRPr="0069318C">
        <w:rPr>
          <w:sz w:val="22"/>
          <w:szCs w:val="20"/>
        </w:rPr>
        <w:t xml:space="preserve">This press release is issued as required by an exemptive order granted to the Fund by the U.S. Securities and Exchange Commission.  </w:t>
      </w:r>
      <w:r w:rsidR="00537834" w:rsidRPr="00644A32">
        <w:rPr>
          <w:sz w:val="22"/>
          <w:szCs w:val="20"/>
        </w:rPr>
        <w:t xml:space="preserve"> </w:t>
      </w:r>
      <w:r w:rsidR="002D18E5" w:rsidRPr="00644A32">
        <w:rPr>
          <w:sz w:val="22"/>
          <w:szCs w:val="20"/>
        </w:rPr>
        <w:t xml:space="preserve">  </w:t>
      </w:r>
    </w:p>
    <w:p w14:paraId="0A96C1DC" w14:textId="77777777" w:rsidR="00031091" w:rsidRDefault="00031091" w:rsidP="00924C01">
      <w:pPr>
        <w:pStyle w:val="BodyText"/>
        <w:spacing w:after="120"/>
        <w:rPr>
          <w:b/>
          <w:bCs/>
          <w:sz w:val="20"/>
        </w:rPr>
      </w:pPr>
    </w:p>
    <w:p w14:paraId="78F13971" w14:textId="77777777" w:rsidR="005D24E7" w:rsidRPr="00E20A1E" w:rsidRDefault="005D24E7" w:rsidP="005D24E7">
      <w:pPr>
        <w:pStyle w:val="BodyText"/>
        <w:spacing w:after="120"/>
        <w:rPr>
          <w:b/>
          <w:bCs/>
          <w:sz w:val="20"/>
        </w:rPr>
      </w:pPr>
      <w:r w:rsidRPr="00E20A1E">
        <w:rPr>
          <w:b/>
          <w:bCs/>
          <w:sz w:val="20"/>
        </w:rPr>
        <w:t>Notification of Sources of Distribution</w:t>
      </w:r>
    </w:p>
    <w:p w14:paraId="59359EC8" w14:textId="77777777" w:rsidR="005D24E7" w:rsidRPr="007D7205" w:rsidRDefault="005D24E7" w:rsidP="005D24E7">
      <w:pPr>
        <w:autoSpaceDE w:val="0"/>
        <w:autoSpaceDN w:val="0"/>
        <w:adjustRightInd w:val="0"/>
        <w:spacing w:line="240" w:lineRule="atLeast"/>
        <w:jc w:val="both"/>
        <w:rPr>
          <w:bCs/>
          <w:color w:val="000000"/>
          <w:sz w:val="20"/>
          <w:szCs w:val="20"/>
        </w:rPr>
      </w:pPr>
      <w:r w:rsidRPr="00E20A1E">
        <w:rPr>
          <w:color w:val="000000"/>
          <w:sz w:val="20"/>
          <w:szCs w:val="20"/>
        </w:rPr>
        <w:t xml:space="preserve">This notice provides shareholders of the John Hancock </w:t>
      </w:r>
      <w:r>
        <w:rPr>
          <w:color w:val="000000"/>
          <w:sz w:val="20"/>
          <w:szCs w:val="20"/>
        </w:rPr>
        <w:t xml:space="preserve">Premium Dividend </w:t>
      </w:r>
      <w:r w:rsidRPr="00E20A1E">
        <w:rPr>
          <w:color w:val="000000"/>
          <w:sz w:val="20"/>
          <w:szCs w:val="20"/>
        </w:rPr>
        <w:t xml:space="preserve">Fund (NYSE: </w:t>
      </w:r>
      <w:r>
        <w:rPr>
          <w:color w:val="000000"/>
          <w:sz w:val="20"/>
          <w:szCs w:val="20"/>
        </w:rPr>
        <w:t>PDT</w:t>
      </w:r>
      <w:r w:rsidRPr="00E20A1E">
        <w:rPr>
          <w:color w:val="000000"/>
          <w:sz w:val="20"/>
          <w:szCs w:val="20"/>
        </w:rPr>
        <w:t xml:space="preserve">) with important information concerning the distribution declared </w:t>
      </w:r>
      <w:r>
        <w:rPr>
          <w:color w:val="000000"/>
          <w:sz w:val="20"/>
          <w:szCs w:val="20"/>
        </w:rPr>
        <w:t xml:space="preserve">on May 1, </w:t>
      </w:r>
      <w:r w:rsidRPr="00E20A1E">
        <w:rPr>
          <w:color w:val="000000"/>
          <w:sz w:val="20"/>
          <w:szCs w:val="20"/>
        </w:rPr>
        <w:t>20</w:t>
      </w:r>
      <w:r>
        <w:rPr>
          <w:color w:val="000000"/>
          <w:sz w:val="20"/>
          <w:szCs w:val="20"/>
        </w:rPr>
        <w:t xml:space="preserve">24, </w:t>
      </w:r>
      <w:r w:rsidRPr="00E20A1E">
        <w:rPr>
          <w:color w:val="000000"/>
          <w:sz w:val="20"/>
          <w:szCs w:val="20"/>
        </w:rPr>
        <w:t xml:space="preserve">and payable on </w:t>
      </w:r>
      <w:bookmarkStart w:id="0" w:name="_Hlk1132913"/>
      <w:r>
        <w:rPr>
          <w:color w:val="000000"/>
          <w:sz w:val="20"/>
          <w:szCs w:val="20"/>
        </w:rPr>
        <w:t>May 31</w:t>
      </w:r>
      <w:r w:rsidRPr="00E20A1E">
        <w:rPr>
          <w:color w:val="000000"/>
          <w:sz w:val="20"/>
          <w:szCs w:val="20"/>
        </w:rPr>
        <w:t>, 20</w:t>
      </w:r>
      <w:bookmarkEnd w:id="0"/>
      <w:r>
        <w:rPr>
          <w:color w:val="000000"/>
          <w:sz w:val="20"/>
          <w:szCs w:val="20"/>
        </w:rPr>
        <w:t>24</w:t>
      </w:r>
      <w:r w:rsidRPr="00E20A1E">
        <w:rPr>
          <w:color w:val="000000"/>
          <w:sz w:val="20"/>
          <w:szCs w:val="20"/>
        </w:rPr>
        <w:t xml:space="preserve">. </w:t>
      </w:r>
      <w:r w:rsidRPr="007D7205">
        <w:rPr>
          <w:bCs/>
          <w:color w:val="000000"/>
          <w:sz w:val="20"/>
          <w:szCs w:val="20"/>
        </w:rPr>
        <w:t>No action is required on your part.</w:t>
      </w:r>
    </w:p>
    <w:p w14:paraId="79194CDF" w14:textId="77777777" w:rsidR="005D24E7" w:rsidRPr="00E20A1E" w:rsidRDefault="005D24E7" w:rsidP="005D24E7">
      <w:pPr>
        <w:autoSpaceDE w:val="0"/>
        <w:autoSpaceDN w:val="0"/>
        <w:adjustRightInd w:val="0"/>
        <w:spacing w:line="240" w:lineRule="atLeast"/>
        <w:jc w:val="both"/>
        <w:rPr>
          <w:color w:val="000000"/>
          <w:sz w:val="20"/>
          <w:szCs w:val="22"/>
        </w:rPr>
      </w:pPr>
    </w:p>
    <w:p w14:paraId="5AA70EA1" w14:textId="77777777" w:rsidR="005D24E7" w:rsidRPr="00E20A1E" w:rsidRDefault="005D24E7" w:rsidP="005D24E7">
      <w:pPr>
        <w:pStyle w:val="BodyText"/>
        <w:spacing w:after="120"/>
        <w:rPr>
          <w:sz w:val="20"/>
        </w:rPr>
      </w:pPr>
      <w:r w:rsidRPr="00E20A1E">
        <w:rPr>
          <w:sz w:val="20"/>
        </w:rPr>
        <w:t>Distribution Period:</w:t>
      </w:r>
      <w:r w:rsidRPr="00E20A1E">
        <w:rPr>
          <w:sz w:val="20"/>
        </w:rPr>
        <w:tab/>
      </w:r>
      <w:r w:rsidRPr="00E20A1E">
        <w:rPr>
          <w:sz w:val="20"/>
        </w:rPr>
        <w:tab/>
      </w:r>
      <w:r w:rsidRPr="00E20A1E">
        <w:rPr>
          <w:sz w:val="20"/>
        </w:rPr>
        <w:tab/>
      </w:r>
      <w:r w:rsidRPr="00E20A1E">
        <w:rPr>
          <w:sz w:val="20"/>
        </w:rPr>
        <w:tab/>
      </w:r>
      <w:r w:rsidRPr="00E20A1E">
        <w:rPr>
          <w:sz w:val="20"/>
        </w:rPr>
        <w:tab/>
      </w:r>
      <w:r>
        <w:rPr>
          <w:color w:val="000000"/>
          <w:sz w:val="20"/>
        </w:rPr>
        <w:t xml:space="preserve">May </w:t>
      </w:r>
      <w:r>
        <w:rPr>
          <w:sz w:val="20"/>
        </w:rPr>
        <w:t>2024</w:t>
      </w:r>
    </w:p>
    <w:p w14:paraId="55E92DFF" w14:textId="77777777" w:rsidR="005D24E7" w:rsidRPr="00E20A1E" w:rsidRDefault="005D24E7" w:rsidP="005D24E7">
      <w:pPr>
        <w:pStyle w:val="BodyText"/>
        <w:spacing w:after="120"/>
        <w:rPr>
          <w:sz w:val="20"/>
        </w:rPr>
      </w:pPr>
      <w:r w:rsidRPr="00E20A1E">
        <w:rPr>
          <w:sz w:val="20"/>
        </w:rPr>
        <w:t>Distribution Amount Per Common Share:</w:t>
      </w:r>
      <w:r w:rsidRPr="00E20A1E">
        <w:rPr>
          <w:sz w:val="20"/>
        </w:rPr>
        <w:tab/>
      </w:r>
      <w:r w:rsidRPr="00E20A1E">
        <w:rPr>
          <w:sz w:val="20"/>
        </w:rPr>
        <w:tab/>
      </w:r>
      <w:r w:rsidRPr="00E20A1E">
        <w:rPr>
          <w:sz w:val="20"/>
        </w:rPr>
        <w:tab/>
        <w:t>$0.</w:t>
      </w:r>
      <w:r>
        <w:rPr>
          <w:sz w:val="20"/>
        </w:rPr>
        <w:t>0825</w:t>
      </w:r>
    </w:p>
    <w:p w14:paraId="6D9684F9" w14:textId="77777777" w:rsidR="005D24E7" w:rsidRPr="00E20A1E" w:rsidRDefault="005D24E7" w:rsidP="005D24E7">
      <w:pPr>
        <w:pStyle w:val="BodyText"/>
        <w:rPr>
          <w:sz w:val="20"/>
        </w:rPr>
      </w:pPr>
      <w:r w:rsidRPr="00E20A1E">
        <w:rPr>
          <w:sz w:val="20"/>
        </w:rPr>
        <w:t>The following table sets forth the estimated sources of th</w:t>
      </w:r>
      <w:r>
        <w:rPr>
          <w:sz w:val="20"/>
        </w:rPr>
        <w:t xml:space="preserve">e current distribution, payable </w:t>
      </w:r>
      <w:r>
        <w:rPr>
          <w:color w:val="000000"/>
          <w:sz w:val="20"/>
        </w:rPr>
        <w:t>May 31</w:t>
      </w:r>
      <w:r w:rsidRPr="00E20A1E">
        <w:rPr>
          <w:color w:val="000000"/>
          <w:sz w:val="20"/>
        </w:rPr>
        <w:t>, 20</w:t>
      </w:r>
      <w:r>
        <w:rPr>
          <w:color w:val="000000"/>
          <w:sz w:val="20"/>
        </w:rPr>
        <w:t>24</w:t>
      </w:r>
      <w:r w:rsidRPr="00E20A1E">
        <w:rPr>
          <w:sz w:val="20"/>
        </w:rPr>
        <w:t>, and the cumulative distributions paid this fiscal year to date from the following sources:  net investment income; net realized short term capital gains; net realized long term capital gains; and return of capital or other capital source. All amounts are expressed on a per common share basis and as a percentage of the distribution amount.</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53"/>
        <w:gridCol w:w="235"/>
        <w:gridCol w:w="1542"/>
        <w:gridCol w:w="235"/>
        <w:gridCol w:w="1542"/>
        <w:gridCol w:w="235"/>
        <w:gridCol w:w="1753"/>
        <w:gridCol w:w="235"/>
        <w:gridCol w:w="1494"/>
      </w:tblGrid>
      <w:tr w:rsidR="005D24E7" w:rsidRPr="00E20A1E" w14:paraId="001814B9" w14:textId="77777777" w:rsidTr="00ED472F">
        <w:tc>
          <w:tcPr>
            <w:tcW w:w="2212" w:type="dxa"/>
            <w:tcBorders>
              <w:top w:val="nil"/>
              <w:left w:val="nil"/>
              <w:bottom w:val="nil"/>
            </w:tcBorders>
            <w:vAlign w:val="bottom"/>
          </w:tcPr>
          <w:p w14:paraId="42782F88" w14:textId="77777777" w:rsidR="005D24E7" w:rsidRPr="00E20A1E" w:rsidRDefault="005D24E7" w:rsidP="00ED472F">
            <w:pPr>
              <w:pStyle w:val="BodyText"/>
              <w:spacing w:after="0"/>
              <w:rPr>
                <w:sz w:val="20"/>
              </w:rPr>
            </w:pPr>
          </w:p>
        </w:tc>
        <w:tc>
          <w:tcPr>
            <w:tcW w:w="236" w:type="dxa"/>
            <w:tcBorders>
              <w:top w:val="nil"/>
              <w:bottom w:val="nil"/>
              <w:right w:val="single" w:sz="6" w:space="0" w:color="auto"/>
            </w:tcBorders>
            <w:vAlign w:val="bottom"/>
          </w:tcPr>
          <w:p w14:paraId="17C43D9D" w14:textId="77777777" w:rsidR="005D24E7" w:rsidRPr="00E20A1E" w:rsidRDefault="005D24E7" w:rsidP="00ED472F">
            <w:pPr>
              <w:pStyle w:val="BodyText"/>
              <w:spacing w:after="0"/>
              <w:jc w:val="center"/>
              <w:rPr>
                <w:sz w:val="20"/>
              </w:rPr>
            </w:pPr>
          </w:p>
        </w:tc>
        <w:tc>
          <w:tcPr>
            <w:tcW w:w="3364" w:type="dxa"/>
            <w:gridSpan w:val="3"/>
            <w:tcBorders>
              <w:top w:val="single" w:sz="6" w:space="0" w:color="auto"/>
              <w:left w:val="single" w:sz="6" w:space="0" w:color="auto"/>
              <w:bottom w:val="nil"/>
              <w:right w:val="single" w:sz="6" w:space="0" w:color="auto"/>
            </w:tcBorders>
            <w:vAlign w:val="bottom"/>
          </w:tcPr>
          <w:p w14:paraId="5E7C7544" w14:textId="77777777" w:rsidR="005D24E7" w:rsidRPr="00C30AFF" w:rsidRDefault="005D24E7" w:rsidP="00ED472F">
            <w:pPr>
              <w:pStyle w:val="BodyText"/>
              <w:spacing w:after="0"/>
              <w:jc w:val="center"/>
              <w:rPr>
                <w:sz w:val="20"/>
                <w:u w:val="single"/>
              </w:rPr>
            </w:pPr>
            <w:r w:rsidRPr="00C30AFF">
              <w:rPr>
                <w:sz w:val="20"/>
                <w:u w:val="single"/>
              </w:rPr>
              <w:t xml:space="preserve">For the period </w:t>
            </w:r>
            <w:r>
              <w:rPr>
                <w:sz w:val="20"/>
                <w:u w:val="single"/>
              </w:rPr>
              <w:t>05</w:t>
            </w:r>
            <w:r w:rsidRPr="00C30AFF">
              <w:rPr>
                <w:sz w:val="20"/>
                <w:u w:val="single"/>
              </w:rPr>
              <w:t>/1/202</w:t>
            </w:r>
            <w:r>
              <w:rPr>
                <w:sz w:val="20"/>
                <w:u w:val="single"/>
              </w:rPr>
              <w:t>4</w:t>
            </w:r>
            <w:r w:rsidRPr="00C30AFF">
              <w:rPr>
                <w:sz w:val="20"/>
                <w:u w:val="single"/>
              </w:rPr>
              <w:t>-</w:t>
            </w:r>
            <w:r>
              <w:rPr>
                <w:sz w:val="20"/>
                <w:u w:val="single"/>
              </w:rPr>
              <w:t>05</w:t>
            </w:r>
            <w:r w:rsidRPr="00C30AFF">
              <w:rPr>
                <w:sz w:val="20"/>
                <w:u w:val="single"/>
              </w:rPr>
              <w:t>/</w:t>
            </w:r>
            <w:r>
              <w:rPr>
                <w:sz w:val="20"/>
                <w:u w:val="single"/>
              </w:rPr>
              <w:t>31</w:t>
            </w:r>
            <w:r w:rsidRPr="00C30AFF">
              <w:rPr>
                <w:sz w:val="20"/>
                <w:u w:val="single"/>
              </w:rPr>
              <w:t>/202</w:t>
            </w:r>
            <w:r>
              <w:rPr>
                <w:sz w:val="20"/>
                <w:u w:val="single"/>
              </w:rPr>
              <w:t>4</w:t>
            </w:r>
          </w:p>
          <w:p w14:paraId="67ABAB9C" w14:textId="77777777" w:rsidR="005D24E7" w:rsidRPr="00F81341" w:rsidRDefault="005D24E7" w:rsidP="00ED472F">
            <w:pPr>
              <w:pStyle w:val="BodyText"/>
              <w:spacing w:after="0"/>
              <w:rPr>
                <w:sz w:val="20"/>
                <w:u w:val="single"/>
              </w:rPr>
            </w:pPr>
          </w:p>
        </w:tc>
        <w:tc>
          <w:tcPr>
            <w:tcW w:w="236" w:type="dxa"/>
            <w:tcBorders>
              <w:top w:val="nil"/>
              <w:left w:val="single" w:sz="6" w:space="0" w:color="auto"/>
              <w:bottom w:val="nil"/>
              <w:right w:val="single" w:sz="6" w:space="0" w:color="auto"/>
            </w:tcBorders>
            <w:vAlign w:val="bottom"/>
          </w:tcPr>
          <w:p w14:paraId="3FE36DD1" w14:textId="77777777" w:rsidR="005D24E7" w:rsidRPr="005F2112" w:rsidRDefault="005D24E7" w:rsidP="00ED472F">
            <w:pPr>
              <w:pStyle w:val="BodyText"/>
              <w:spacing w:after="0"/>
              <w:jc w:val="center"/>
              <w:rPr>
                <w:sz w:val="20"/>
              </w:rPr>
            </w:pPr>
          </w:p>
        </w:tc>
        <w:tc>
          <w:tcPr>
            <w:tcW w:w="3528" w:type="dxa"/>
            <w:gridSpan w:val="3"/>
            <w:tcBorders>
              <w:top w:val="single" w:sz="6" w:space="0" w:color="auto"/>
              <w:left w:val="single" w:sz="6" w:space="0" w:color="auto"/>
              <w:bottom w:val="nil"/>
              <w:right w:val="single" w:sz="6" w:space="0" w:color="auto"/>
            </w:tcBorders>
            <w:vAlign w:val="bottom"/>
          </w:tcPr>
          <w:p w14:paraId="12F8C538" w14:textId="77777777" w:rsidR="005D24E7" w:rsidRDefault="005D24E7" w:rsidP="00ED472F">
            <w:pPr>
              <w:pStyle w:val="BodyText"/>
              <w:spacing w:after="0"/>
              <w:jc w:val="center"/>
              <w:rPr>
                <w:sz w:val="20"/>
                <w:u w:val="single"/>
              </w:rPr>
            </w:pPr>
          </w:p>
          <w:p w14:paraId="6CB2A419" w14:textId="77777777" w:rsidR="005D24E7" w:rsidRPr="00C30AFF" w:rsidRDefault="005D24E7" w:rsidP="00ED472F">
            <w:pPr>
              <w:pStyle w:val="BodyText"/>
              <w:spacing w:after="0"/>
              <w:jc w:val="center"/>
              <w:rPr>
                <w:sz w:val="20"/>
                <w:u w:val="single"/>
              </w:rPr>
            </w:pPr>
            <w:r w:rsidRPr="00C30AFF">
              <w:rPr>
                <w:sz w:val="20"/>
                <w:u w:val="single"/>
              </w:rPr>
              <w:t>For the fiscal year-to-date period 11/1/20</w:t>
            </w:r>
            <w:r>
              <w:rPr>
                <w:sz w:val="20"/>
                <w:u w:val="single"/>
              </w:rPr>
              <w:t>23</w:t>
            </w:r>
            <w:r w:rsidRPr="00C30AFF">
              <w:rPr>
                <w:sz w:val="20"/>
                <w:u w:val="single"/>
              </w:rPr>
              <w:t>-</w:t>
            </w:r>
            <w:r>
              <w:rPr>
                <w:sz w:val="20"/>
                <w:u w:val="single"/>
              </w:rPr>
              <w:t>05</w:t>
            </w:r>
            <w:r w:rsidRPr="00C30AFF">
              <w:rPr>
                <w:sz w:val="20"/>
                <w:u w:val="single"/>
              </w:rPr>
              <w:t>/</w:t>
            </w:r>
            <w:r>
              <w:rPr>
                <w:sz w:val="20"/>
                <w:u w:val="single"/>
              </w:rPr>
              <w:t>31</w:t>
            </w:r>
            <w:r w:rsidRPr="00C30AFF">
              <w:rPr>
                <w:sz w:val="20"/>
                <w:u w:val="single"/>
              </w:rPr>
              <w:t>/202</w:t>
            </w:r>
            <w:r>
              <w:rPr>
                <w:sz w:val="20"/>
                <w:u w:val="single"/>
              </w:rPr>
              <w:t>4</w:t>
            </w:r>
            <w:r w:rsidRPr="00C30AFF">
              <w:rPr>
                <w:sz w:val="20"/>
                <w:u w:val="single"/>
              </w:rPr>
              <w:t xml:space="preserve"> </w:t>
            </w:r>
            <w:r w:rsidRPr="00C30AFF">
              <w:rPr>
                <w:rStyle w:val="FootnoteReference"/>
                <w:sz w:val="20"/>
                <w:u w:val="single"/>
              </w:rPr>
              <w:footnoteReference w:id="1"/>
            </w:r>
          </w:p>
          <w:p w14:paraId="1C4E3A1C" w14:textId="77777777" w:rsidR="005D24E7" w:rsidRPr="00F81341" w:rsidRDefault="005D24E7" w:rsidP="00ED472F">
            <w:pPr>
              <w:pStyle w:val="BodyText"/>
              <w:spacing w:after="0"/>
              <w:jc w:val="center"/>
              <w:rPr>
                <w:sz w:val="20"/>
                <w:u w:val="single"/>
              </w:rPr>
            </w:pPr>
          </w:p>
        </w:tc>
      </w:tr>
      <w:tr w:rsidR="005D24E7" w:rsidRPr="00E20A1E" w14:paraId="58BEF31B" w14:textId="77777777" w:rsidTr="00ED472F">
        <w:tc>
          <w:tcPr>
            <w:tcW w:w="2212" w:type="dxa"/>
            <w:tcBorders>
              <w:top w:val="nil"/>
              <w:left w:val="nil"/>
              <w:bottom w:val="single" w:sz="4" w:space="0" w:color="auto"/>
            </w:tcBorders>
            <w:vAlign w:val="bottom"/>
          </w:tcPr>
          <w:p w14:paraId="36DFBACD" w14:textId="77777777" w:rsidR="005D24E7" w:rsidRPr="00E20A1E" w:rsidRDefault="005D24E7" w:rsidP="00ED472F">
            <w:pPr>
              <w:pStyle w:val="BodyText"/>
              <w:spacing w:after="0"/>
              <w:rPr>
                <w:sz w:val="20"/>
              </w:rPr>
            </w:pPr>
            <w:r w:rsidRPr="00E20A1E">
              <w:rPr>
                <w:sz w:val="20"/>
              </w:rPr>
              <w:t>Source</w:t>
            </w:r>
          </w:p>
        </w:tc>
        <w:tc>
          <w:tcPr>
            <w:tcW w:w="236" w:type="dxa"/>
            <w:tcBorders>
              <w:top w:val="nil"/>
              <w:bottom w:val="single" w:sz="4" w:space="0" w:color="auto"/>
              <w:right w:val="single" w:sz="6" w:space="0" w:color="auto"/>
            </w:tcBorders>
            <w:vAlign w:val="bottom"/>
          </w:tcPr>
          <w:p w14:paraId="400E09CA" w14:textId="77777777" w:rsidR="005D24E7" w:rsidRPr="00E20A1E" w:rsidRDefault="005D24E7" w:rsidP="00ED472F">
            <w:pPr>
              <w:pStyle w:val="BodyText"/>
              <w:spacing w:after="0"/>
              <w:jc w:val="center"/>
              <w:rPr>
                <w:sz w:val="20"/>
              </w:rPr>
            </w:pPr>
          </w:p>
        </w:tc>
        <w:tc>
          <w:tcPr>
            <w:tcW w:w="1564" w:type="dxa"/>
            <w:tcBorders>
              <w:top w:val="nil"/>
              <w:left w:val="single" w:sz="6" w:space="0" w:color="auto"/>
              <w:bottom w:val="single" w:sz="6" w:space="0" w:color="auto"/>
            </w:tcBorders>
            <w:vAlign w:val="bottom"/>
          </w:tcPr>
          <w:p w14:paraId="759A5E26" w14:textId="77777777" w:rsidR="005D24E7" w:rsidRPr="005F2112" w:rsidRDefault="005D24E7" w:rsidP="00ED472F">
            <w:pPr>
              <w:pStyle w:val="BodyText"/>
              <w:spacing w:after="0"/>
              <w:jc w:val="center"/>
              <w:rPr>
                <w:sz w:val="20"/>
              </w:rPr>
            </w:pPr>
            <w:r w:rsidRPr="005F2112">
              <w:rPr>
                <w:sz w:val="20"/>
              </w:rPr>
              <w:t>Current Distribution ($)</w:t>
            </w:r>
          </w:p>
        </w:tc>
        <w:tc>
          <w:tcPr>
            <w:tcW w:w="236" w:type="dxa"/>
            <w:tcBorders>
              <w:top w:val="nil"/>
              <w:bottom w:val="single" w:sz="6" w:space="0" w:color="auto"/>
            </w:tcBorders>
            <w:vAlign w:val="bottom"/>
          </w:tcPr>
          <w:p w14:paraId="3E1ADADB" w14:textId="77777777" w:rsidR="005D24E7" w:rsidRPr="005F2112" w:rsidRDefault="005D24E7" w:rsidP="00ED472F">
            <w:pPr>
              <w:pStyle w:val="BodyText"/>
              <w:spacing w:after="0"/>
              <w:jc w:val="center"/>
              <w:rPr>
                <w:sz w:val="20"/>
              </w:rPr>
            </w:pPr>
          </w:p>
        </w:tc>
        <w:tc>
          <w:tcPr>
            <w:tcW w:w="1564" w:type="dxa"/>
            <w:tcBorders>
              <w:top w:val="nil"/>
              <w:bottom w:val="single" w:sz="6" w:space="0" w:color="auto"/>
              <w:right w:val="single" w:sz="6" w:space="0" w:color="auto"/>
            </w:tcBorders>
            <w:vAlign w:val="bottom"/>
          </w:tcPr>
          <w:p w14:paraId="274AD190" w14:textId="77777777" w:rsidR="005D24E7" w:rsidRPr="005F2112" w:rsidRDefault="005D24E7" w:rsidP="00ED472F">
            <w:pPr>
              <w:pStyle w:val="BodyText"/>
              <w:spacing w:after="0"/>
              <w:jc w:val="center"/>
              <w:rPr>
                <w:sz w:val="20"/>
              </w:rPr>
            </w:pPr>
            <w:r w:rsidRPr="005F2112">
              <w:rPr>
                <w:sz w:val="20"/>
              </w:rPr>
              <w:t>% Breakdown of the Current Distribution</w:t>
            </w:r>
          </w:p>
        </w:tc>
        <w:tc>
          <w:tcPr>
            <w:tcW w:w="236" w:type="dxa"/>
            <w:tcBorders>
              <w:top w:val="nil"/>
              <w:left w:val="single" w:sz="6" w:space="0" w:color="auto"/>
              <w:bottom w:val="nil"/>
              <w:right w:val="single" w:sz="6" w:space="0" w:color="auto"/>
            </w:tcBorders>
            <w:vAlign w:val="bottom"/>
          </w:tcPr>
          <w:p w14:paraId="7C563828" w14:textId="77777777" w:rsidR="005D24E7" w:rsidRPr="005F2112" w:rsidRDefault="005D24E7" w:rsidP="00ED472F">
            <w:pPr>
              <w:pStyle w:val="BodyText"/>
              <w:spacing w:after="0"/>
              <w:jc w:val="center"/>
              <w:rPr>
                <w:sz w:val="20"/>
              </w:rPr>
            </w:pPr>
          </w:p>
        </w:tc>
        <w:tc>
          <w:tcPr>
            <w:tcW w:w="1784" w:type="dxa"/>
            <w:tcBorders>
              <w:top w:val="nil"/>
              <w:left w:val="single" w:sz="6" w:space="0" w:color="auto"/>
              <w:bottom w:val="single" w:sz="6" w:space="0" w:color="auto"/>
            </w:tcBorders>
            <w:vAlign w:val="bottom"/>
          </w:tcPr>
          <w:p w14:paraId="12B5553D" w14:textId="77777777" w:rsidR="005D24E7" w:rsidRPr="005F2112" w:rsidRDefault="005D24E7" w:rsidP="00ED472F">
            <w:pPr>
              <w:pStyle w:val="BodyText"/>
              <w:spacing w:after="0"/>
              <w:jc w:val="center"/>
              <w:rPr>
                <w:sz w:val="20"/>
              </w:rPr>
            </w:pPr>
            <w:r w:rsidRPr="005F2112">
              <w:rPr>
                <w:sz w:val="20"/>
              </w:rPr>
              <w:t>Total Cumulative Distributions ($)</w:t>
            </w:r>
          </w:p>
        </w:tc>
        <w:tc>
          <w:tcPr>
            <w:tcW w:w="236" w:type="dxa"/>
            <w:tcBorders>
              <w:top w:val="nil"/>
              <w:bottom w:val="single" w:sz="6" w:space="0" w:color="auto"/>
            </w:tcBorders>
            <w:vAlign w:val="bottom"/>
          </w:tcPr>
          <w:p w14:paraId="5193BEA1" w14:textId="77777777" w:rsidR="005D24E7" w:rsidRPr="005F2112" w:rsidRDefault="005D24E7" w:rsidP="00ED472F">
            <w:pPr>
              <w:pStyle w:val="BodyText"/>
              <w:spacing w:after="0"/>
              <w:jc w:val="center"/>
              <w:rPr>
                <w:sz w:val="20"/>
              </w:rPr>
            </w:pPr>
          </w:p>
        </w:tc>
        <w:tc>
          <w:tcPr>
            <w:tcW w:w="1508" w:type="dxa"/>
            <w:tcBorders>
              <w:top w:val="nil"/>
              <w:bottom w:val="single" w:sz="6" w:space="0" w:color="auto"/>
              <w:right w:val="single" w:sz="6" w:space="0" w:color="auto"/>
            </w:tcBorders>
            <w:vAlign w:val="bottom"/>
          </w:tcPr>
          <w:p w14:paraId="2C050C8B" w14:textId="77777777" w:rsidR="005D24E7" w:rsidRPr="005F2112" w:rsidRDefault="005D24E7" w:rsidP="00ED472F">
            <w:pPr>
              <w:pStyle w:val="BodyText"/>
              <w:spacing w:after="0"/>
              <w:jc w:val="center"/>
              <w:rPr>
                <w:sz w:val="20"/>
              </w:rPr>
            </w:pPr>
            <w:r w:rsidRPr="005F2112">
              <w:rPr>
                <w:sz w:val="20"/>
              </w:rPr>
              <w:t xml:space="preserve">% Breakdown of the Total Cumulative Distributions </w:t>
            </w:r>
          </w:p>
        </w:tc>
      </w:tr>
      <w:tr w:rsidR="005D24E7" w:rsidRPr="00E20A1E" w14:paraId="7D215EB6" w14:textId="77777777" w:rsidTr="00ED472F">
        <w:tc>
          <w:tcPr>
            <w:tcW w:w="2212" w:type="dxa"/>
            <w:tcBorders>
              <w:top w:val="single" w:sz="4" w:space="0" w:color="auto"/>
              <w:left w:val="nil"/>
              <w:bottom w:val="nil"/>
            </w:tcBorders>
            <w:vAlign w:val="bottom"/>
          </w:tcPr>
          <w:p w14:paraId="30813F02" w14:textId="77777777" w:rsidR="005D24E7" w:rsidRPr="00E20A1E" w:rsidRDefault="005D24E7" w:rsidP="00ED472F">
            <w:pPr>
              <w:pStyle w:val="BodyText"/>
              <w:spacing w:after="0"/>
              <w:rPr>
                <w:sz w:val="20"/>
              </w:rPr>
            </w:pPr>
            <w:r w:rsidRPr="00E20A1E">
              <w:rPr>
                <w:sz w:val="20"/>
              </w:rPr>
              <w:t>Net Investment Income</w:t>
            </w:r>
          </w:p>
        </w:tc>
        <w:tc>
          <w:tcPr>
            <w:tcW w:w="236" w:type="dxa"/>
            <w:tcBorders>
              <w:top w:val="single" w:sz="4" w:space="0" w:color="auto"/>
              <w:bottom w:val="nil"/>
              <w:right w:val="single" w:sz="6" w:space="0" w:color="auto"/>
            </w:tcBorders>
          </w:tcPr>
          <w:p w14:paraId="695AEE4A" w14:textId="77777777" w:rsidR="005D24E7" w:rsidRPr="00E20A1E" w:rsidRDefault="005D24E7" w:rsidP="00ED472F">
            <w:pPr>
              <w:pStyle w:val="BodyText"/>
              <w:spacing w:after="0"/>
              <w:rPr>
                <w:sz w:val="20"/>
              </w:rPr>
            </w:pPr>
          </w:p>
        </w:tc>
        <w:tc>
          <w:tcPr>
            <w:tcW w:w="1564" w:type="dxa"/>
            <w:tcBorders>
              <w:top w:val="single" w:sz="6" w:space="0" w:color="auto"/>
              <w:left w:val="single" w:sz="6" w:space="0" w:color="auto"/>
              <w:bottom w:val="nil"/>
            </w:tcBorders>
            <w:vAlign w:val="bottom"/>
          </w:tcPr>
          <w:p w14:paraId="6074806C" w14:textId="77777777" w:rsidR="005D24E7" w:rsidRPr="005F2112" w:rsidRDefault="005D24E7" w:rsidP="00ED472F">
            <w:pPr>
              <w:pStyle w:val="BodyText"/>
              <w:spacing w:after="0"/>
              <w:jc w:val="center"/>
              <w:rPr>
                <w:sz w:val="20"/>
              </w:rPr>
            </w:pPr>
            <w:r w:rsidRPr="005F2112">
              <w:rPr>
                <w:sz w:val="20"/>
              </w:rPr>
              <w:t>0.</w:t>
            </w:r>
            <w:r>
              <w:rPr>
                <w:sz w:val="20"/>
              </w:rPr>
              <w:t>0740</w:t>
            </w:r>
          </w:p>
        </w:tc>
        <w:tc>
          <w:tcPr>
            <w:tcW w:w="236" w:type="dxa"/>
            <w:tcBorders>
              <w:top w:val="single" w:sz="6" w:space="0" w:color="auto"/>
              <w:bottom w:val="nil"/>
            </w:tcBorders>
            <w:vAlign w:val="bottom"/>
          </w:tcPr>
          <w:p w14:paraId="706F8C84" w14:textId="77777777" w:rsidR="005D24E7" w:rsidRPr="005F2112" w:rsidRDefault="005D24E7" w:rsidP="00ED472F">
            <w:pPr>
              <w:pStyle w:val="BodyText"/>
              <w:spacing w:after="0"/>
              <w:jc w:val="center"/>
              <w:rPr>
                <w:sz w:val="20"/>
              </w:rPr>
            </w:pPr>
          </w:p>
        </w:tc>
        <w:tc>
          <w:tcPr>
            <w:tcW w:w="1564" w:type="dxa"/>
            <w:tcBorders>
              <w:top w:val="single" w:sz="6" w:space="0" w:color="auto"/>
              <w:bottom w:val="nil"/>
              <w:right w:val="single" w:sz="6" w:space="0" w:color="auto"/>
            </w:tcBorders>
            <w:vAlign w:val="bottom"/>
          </w:tcPr>
          <w:p w14:paraId="026EA9A1" w14:textId="77777777" w:rsidR="005D24E7" w:rsidRPr="005F2112" w:rsidRDefault="005D24E7" w:rsidP="00ED472F">
            <w:pPr>
              <w:pStyle w:val="BodyText"/>
              <w:spacing w:after="0"/>
              <w:jc w:val="center"/>
              <w:rPr>
                <w:sz w:val="20"/>
              </w:rPr>
            </w:pPr>
            <w:r w:rsidRPr="005F2112">
              <w:rPr>
                <w:sz w:val="20"/>
              </w:rPr>
              <w:t xml:space="preserve"> </w:t>
            </w:r>
            <w:r>
              <w:rPr>
                <w:sz w:val="20"/>
              </w:rPr>
              <w:t>90</w:t>
            </w:r>
            <w:r w:rsidRPr="005F2112">
              <w:rPr>
                <w:sz w:val="20"/>
              </w:rPr>
              <w:t>%</w:t>
            </w:r>
          </w:p>
        </w:tc>
        <w:tc>
          <w:tcPr>
            <w:tcW w:w="236" w:type="dxa"/>
            <w:tcBorders>
              <w:top w:val="nil"/>
              <w:left w:val="single" w:sz="6" w:space="0" w:color="auto"/>
              <w:bottom w:val="nil"/>
              <w:right w:val="single" w:sz="6" w:space="0" w:color="auto"/>
            </w:tcBorders>
            <w:vAlign w:val="bottom"/>
          </w:tcPr>
          <w:p w14:paraId="6A6E3AC3" w14:textId="77777777" w:rsidR="005D24E7" w:rsidRPr="005F2112" w:rsidRDefault="005D24E7" w:rsidP="00ED472F">
            <w:pPr>
              <w:pStyle w:val="BodyText"/>
              <w:spacing w:after="0"/>
              <w:jc w:val="center"/>
              <w:rPr>
                <w:sz w:val="20"/>
              </w:rPr>
            </w:pPr>
          </w:p>
        </w:tc>
        <w:tc>
          <w:tcPr>
            <w:tcW w:w="1784" w:type="dxa"/>
            <w:tcBorders>
              <w:top w:val="single" w:sz="6" w:space="0" w:color="auto"/>
              <w:left w:val="single" w:sz="6" w:space="0" w:color="auto"/>
              <w:bottom w:val="nil"/>
            </w:tcBorders>
            <w:vAlign w:val="bottom"/>
          </w:tcPr>
          <w:p w14:paraId="21D12A4E" w14:textId="77777777" w:rsidR="005D24E7" w:rsidRPr="005F2112" w:rsidRDefault="005D24E7" w:rsidP="00ED472F">
            <w:pPr>
              <w:pStyle w:val="BodyText"/>
              <w:spacing w:after="0"/>
              <w:jc w:val="center"/>
              <w:rPr>
                <w:sz w:val="20"/>
              </w:rPr>
            </w:pPr>
            <w:r>
              <w:rPr>
                <w:sz w:val="20"/>
              </w:rPr>
              <w:t>0.3561</w:t>
            </w:r>
          </w:p>
        </w:tc>
        <w:tc>
          <w:tcPr>
            <w:tcW w:w="236" w:type="dxa"/>
            <w:tcBorders>
              <w:top w:val="single" w:sz="6" w:space="0" w:color="auto"/>
              <w:bottom w:val="nil"/>
            </w:tcBorders>
            <w:vAlign w:val="bottom"/>
          </w:tcPr>
          <w:p w14:paraId="7050A62F" w14:textId="77777777" w:rsidR="005D24E7" w:rsidRPr="005F2112" w:rsidRDefault="005D24E7" w:rsidP="00ED472F">
            <w:pPr>
              <w:pStyle w:val="BodyText"/>
              <w:spacing w:after="0"/>
              <w:jc w:val="center"/>
              <w:rPr>
                <w:sz w:val="20"/>
              </w:rPr>
            </w:pPr>
          </w:p>
        </w:tc>
        <w:tc>
          <w:tcPr>
            <w:tcW w:w="1508" w:type="dxa"/>
            <w:tcBorders>
              <w:top w:val="single" w:sz="6" w:space="0" w:color="auto"/>
              <w:bottom w:val="nil"/>
              <w:right w:val="single" w:sz="6" w:space="0" w:color="auto"/>
            </w:tcBorders>
            <w:vAlign w:val="bottom"/>
          </w:tcPr>
          <w:p w14:paraId="61044D96" w14:textId="77777777" w:rsidR="005D24E7" w:rsidRPr="005F2112" w:rsidRDefault="005D24E7" w:rsidP="00ED472F">
            <w:pPr>
              <w:pStyle w:val="BodyText"/>
              <w:spacing w:after="0"/>
              <w:jc w:val="center"/>
              <w:rPr>
                <w:sz w:val="20"/>
              </w:rPr>
            </w:pPr>
            <w:r w:rsidRPr="005F2112">
              <w:rPr>
                <w:sz w:val="20"/>
              </w:rPr>
              <w:t xml:space="preserve"> </w:t>
            </w:r>
            <w:r>
              <w:rPr>
                <w:sz w:val="20"/>
              </w:rPr>
              <w:t>62</w:t>
            </w:r>
            <w:r w:rsidRPr="005F2112">
              <w:rPr>
                <w:sz w:val="20"/>
              </w:rPr>
              <w:t>%</w:t>
            </w:r>
          </w:p>
        </w:tc>
      </w:tr>
      <w:tr w:rsidR="005D24E7" w:rsidRPr="00E20A1E" w14:paraId="1979ED50" w14:textId="77777777" w:rsidTr="00ED472F">
        <w:tc>
          <w:tcPr>
            <w:tcW w:w="2212" w:type="dxa"/>
            <w:tcBorders>
              <w:top w:val="nil"/>
              <w:left w:val="nil"/>
              <w:bottom w:val="nil"/>
            </w:tcBorders>
            <w:vAlign w:val="bottom"/>
          </w:tcPr>
          <w:p w14:paraId="043B698D" w14:textId="77777777" w:rsidR="005D24E7" w:rsidRPr="00E20A1E" w:rsidRDefault="005D24E7" w:rsidP="00ED472F">
            <w:pPr>
              <w:pStyle w:val="BodyText"/>
              <w:spacing w:after="0"/>
              <w:ind w:left="288" w:hanging="288"/>
              <w:rPr>
                <w:sz w:val="20"/>
              </w:rPr>
            </w:pPr>
            <w:r w:rsidRPr="00E20A1E">
              <w:rPr>
                <w:sz w:val="20"/>
              </w:rPr>
              <w:t>Net Realized Short</w:t>
            </w:r>
            <w:r>
              <w:rPr>
                <w:sz w:val="20"/>
              </w:rPr>
              <w:t>-</w:t>
            </w:r>
            <w:r w:rsidRPr="00E20A1E">
              <w:rPr>
                <w:sz w:val="20"/>
              </w:rPr>
              <w:t xml:space="preserve"> Term Capital Gains</w:t>
            </w:r>
          </w:p>
        </w:tc>
        <w:tc>
          <w:tcPr>
            <w:tcW w:w="236" w:type="dxa"/>
            <w:tcBorders>
              <w:top w:val="nil"/>
              <w:bottom w:val="nil"/>
              <w:right w:val="single" w:sz="6" w:space="0" w:color="auto"/>
            </w:tcBorders>
          </w:tcPr>
          <w:p w14:paraId="764CFC65" w14:textId="77777777" w:rsidR="005D24E7" w:rsidRPr="00E20A1E" w:rsidRDefault="005D24E7" w:rsidP="00ED472F">
            <w:pPr>
              <w:pStyle w:val="BodyText"/>
              <w:spacing w:after="0"/>
              <w:rPr>
                <w:sz w:val="20"/>
              </w:rPr>
            </w:pPr>
          </w:p>
        </w:tc>
        <w:tc>
          <w:tcPr>
            <w:tcW w:w="1564" w:type="dxa"/>
            <w:tcBorders>
              <w:top w:val="nil"/>
              <w:left w:val="single" w:sz="6" w:space="0" w:color="auto"/>
              <w:bottom w:val="nil"/>
            </w:tcBorders>
            <w:vAlign w:val="bottom"/>
          </w:tcPr>
          <w:p w14:paraId="027B950C" w14:textId="77777777" w:rsidR="005D24E7" w:rsidRPr="005F2112" w:rsidRDefault="005D24E7" w:rsidP="00ED472F">
            <w:pPr>
              <w:pStyle w:val="BodyText"/>
              <w:spacing w:after="0"/>
              <w:jc w:val="center"/>
              <w:rPr>
                <w:sz w:val="20"/>
              </w:rPr>
            </w:pPr>
            <w:r w:rsidRPr="005F2112">
              <w:rPr>
                <w:sz w:val="20"/>
              </w:rPr>
              <w:t>0.</w:t>
            </w:r>
            <w:r>
              <w:rPr>
                <w:sz w:val="20"/>
              </w:rPr>
              <w:t>0000</w:t>
            </w:r>
          </w:p>
        </w:tc>
        <w:tc>
          <w:tcPr>
            <w:tcW w:w="236" w:type="dxa"/>
            <w:tcBorders>
              <w:top w:val="nil"/>
              <w:bottom w:val="nil"/>
            </w:tcBorders>
            <w:vAlign w:val="bottom"/>
          </w:tcPr>
          <w:p w14:paraId="5A11A5A1" w14:textId="77777777" w:rsidR="005D24E7" w:rsidRPr="005F2112" w:rsidRDefault="005D24E7" w:rsidP="00ED472F">
            <w:pPr>
              <w:pStyle w:val="BodyText"/>
              <w:spacing w:after="0"/>
              <w:jc w:val="center"/>
              <w:rPr>
                <w:sz w:val="20"/>
              </w:rPr>
            </w:pPr>
          </w:p>
        </w:tc>
        <w:tc>
          <w:tcPr>
            <w:tcW w:w="1564" w:type="dxa"/>
            <w:tcBorders>
              <w:top w:val="nil"/>
              <w:bottom w:val="nil"/>
              <w:right w:val="single" w:sz="6" w:space="0" w:color="auto"/>
            </w:tcBorders>
            <w:vAlign w:val="bottom"/>
          </w:tcPr>
          <w:p w14:paraId="720BFB23" w14:textId="77777777" w:rsidR="005D24E7" w:rsidRPr="005F2112" w:rsidRDefault="005D24E7" w:rsidP="00ED472F">
            <w:pPr>
              <w:pStyle w:val="BodyText"/>
              <w:spacing w:after="0"/>
              <w:jc w:val="center"/>
              <w:rPr>
                <w:sz w:val="20"/>
              </w:rPr>
            </w:pPr>
            <w:r>
              <w:rPr>
                <w:sz w:val="20"/>
              </w:rPr>
              <w:t xml:space="preserve"> 0</w:t>
            </w:r>
            <w:r w:rsidRPr="005F2112">
              <w:rPr>
                <w:sz w:val="20"/>
              </w:rPr>
              <w:t>%</w:t>
            </w:r>
          </w:p>
        </w:tc>
        <w:tc>
          <w:tcPr>
            <w:tcW w:w="236" w:type="dxa"/>
            <w:tcBorders>
              <w:top w:val="nil"/>
              <w:left w:val="single" w:sz="6" w:space="0" w:color="auto"/>
              <w:bottom w:val="nil"/>
              <w:right w:val="single" w:sz="6" w:space="0" w:color="auto"/>
            </w:tcBorders>
            <w:vAlign w:val="bottom"/>
          </w:tcPr>
          <w:p w14:paraId="50AE62E7" w14:textId="77777777" w:rsidR="005D24E7" w:rsidRPr="005F2112" w:rsidRDefault="005D24E7" w:rsidP="00ED472F">
            <w:pPr>
              <w:pStyle w:val="BodyText"/>
              <w:spacing w:after="0"/>
              <w:jc w:val="center"/>
              <w:rPr>
                <w:sz w:val="20"/>
              </w:rPr>
            </w:pPr>
          </w:p>
        </w:tc>
        <w:tc>
          <w:tcPr>
            <w:tcW w:w="1784" w:type="dxa"/>
            <w:tcBorders>
              <w:top w:val="nil"/>
              <w:left w:val="single" w:sz="6" w:space="0" w:color="auto"/>
              <w:bottom w:val="nil"/>
            </w:tcBorders>
            <w:vAlign w:val="bottom"/>
          </w:tcPr>
          <w:p w14:paraId="4D15150E" w14:textId="77777777" w:rsidR="005D24E7" w:rsidRPr="005F2112" w:rsidRDefault="005D24E7" w:rsidP="00ED472F">
            <w:pPr>
              <w:pStyle w:val="BodyText"/>
              <w:spacing w:after="0"/>
              <w:jc w:val="center"/>
              <w:rPr>
                <w:sz w:val="20"/>
              </w:rPr>
            </w:pPr>
            <w:r>
              <w:rPr>
                <w:sz w:val="20"/>
              </w:rPr>
              <w:t>0.0243</w:t>
            </w:r>
          </w:p>
        </w:tc>
        <w:tc>
          <w:tcPr>
            <w:tcW w:w="236" w:type="dxa"/>
            <w:tcBorders>
              <w:top w:val="nil"/>
              <w:bottom w:val="nil"/>
            </w:tcBorders>
            <w:vAlign w:val="bottom"/>
          </w:tcPr>
          <w:p w14:paraId="3CD58B75" w14:textId="77777777" w:rsidR="005D24E7" w:rsidRPr="005F2112" w:rsidRDefault="005D24E7" w:rsidP="00ED472F">
            <w:pPr>
              <w:pStyle w:val="BodyText"/>
              <w:spacing w:after="0"/>
              <w:jc w:val="center"/>
              <w:rPr>
                <w:sz w:val="20"/>
              </w:rPr>
            </w:pPr>
          </w:p>
        </w:tc>
        <w:tc>
          <w:tcPr>
            <w:tcW w:w="1508" w:type="dxa"/>
            <w:tcBorders>
              <w:top w:val="nil"/>
              <w:bottom w:val="nil"/>
              <w:right w:val="single" w:sz="6" w:space="0" w:color="auto"/>
            </w:tcBorders>
            <w:vAlign w:val="bottom"/>
          </w:tcPr>
          <w:p w14:paraId="6753EB62" w14:textId="77777777" w:rsidR="005D24E7" w:rsidRPr="005F2112" w:rsidRDefault="005D24E7" w:rsidP="00ED472F">
            <w:pPr>
              <w:pStyle w:val="BodyText"/>
              <w:spacing w:after="0"/>
              <w:jc w:val="center"/>
              <w:rPr>
                <w:sz w:val="20"/>
              </w:rPr>
            </w:pPr>
            <w:r>
              <w:rPr>
                <w:sz w:val="20"/>
              </w:rPr>
              <w:t>4</w:t>
            </w:r>
            <w:r w:rsidRPr="005F2112">
              <w:rPr>
                <w:sz w:val="20"/>
              </w:rPr>
              <w:t>%</w:t>
            </w:r>
          </w:p>
        </w:tc>
      </w:tr>
      <w:tr w:rsidR="005D24E7" w:rsidRPr="00E20A1E" w14:paraId="569CA316" w14:textId="77777777" w:rsidTr="00ED472F">
        <w:tc>
          <w:tcPr>
            <w:tcW w:w="2212" w:type="dxa"/>
            <w:tcBorders>
              <w:top w:val="nil"/>
              <w:left w:val="nil"/>
              <w:bottom w:val="nil"/>
            </w:tcBorders>
            <w:vAlign w:val="bottom"/>
          </w:tcPr>
          <w:p w14:paraId="7591E050" w14:textId="77777777" w:rsidR="005D24E7" w:rsidRPr="00E20A1E" w:rsidRDefault="005D24E7" w:rsidP="00ED472F">
            <w:pPr>
              <w:pStyle w:val="BodyText"/>
              <w:spacing w:after="0"/>
              <w:ind w:left="288" w:hanging="288"/>
              <w:rPr>
                <w:sz w:val="20"/>
              </w:rPr>
            </w:pPr>
            <w:r w:rsidRPr="00E20A1E">
              <w:rPr>
                <w:sz w:val="20"/>
              </w:rPr>
              <w:t>Net Realized Long</w:t>
            </w:r>
            <w:r>
              <w:rPr>
                <w:sz w:val="20"/>
              </w:rPr>
              <w:t>-</w:t>
            </w:r>
            <w:r w:rsidRPr="00E20A1E">
              <w:rPr>
                <w:sz w:val="20"/>
              </w:rPr>
              <w:t xml:space="preserve"> Term Capital Gains</w:t>
            </w:r>
          </w:p>
        </w:tc>
        <w:tc>
          <w:tcPr>
            <w:tcW w:w="236" w:type="dxa"/>
            <w:tcBorders>
              <w:top w:val="nil"/>
              <w:bottom w:val="nil"/>
              <w:right w:val="single" w:sz="6" w:space="0" w:color="auto"/>
            </w:tcBorders>
          </w:tcPr>
          <w:p w14:paraId="78575D7D" w14:textId="77777777" w:rsidR="005D24E7" w:rsidRPr="00E20A1E" w:rsidRDefault="005D24E7" w:rsidP="00ED472F">
            <w:pPr>
              <w:pStyle w:val="BodyText"/>
              <w:spacing w:after="0"/>
              <w:rPr>
                <w:sz w:val="20"/>
              </w:rPr>
            </w:pPr>
          </w:p>
        </w:tc>
        <w:tc>
          <w:tcPr>
            <w:tcW w:w="1564" w:type="dxa"/>
            <w:tcBorders>
              <w:top w:val="nil"/>
              <w:left w:val="single" w:sz="6" w:space="0" w:color="auto"/>
              <w:bottom w:val="nil"/>
            </w:tcBorders>
            <w:vAlign w:val="bottom"/>
          </w:tcPr>
          <w:p w14:paraId="4AAA6B23" w14:textId="77777777" w:rsidR="005D24E7" w:rsidRPr="005F2112" w:rsidRDefault="005D24E7" w:rsidP="00ED472F">
            <w:pPr>
              <w:pStyle w:val="BodyText"/>
              <w:spacing w:after="0"/>
              <w:jc w:val="center"/>
              <w:rPr>
                <w:sz w:val="20"/>
              </w:rPr>
            </w:pPr>
            <w:r w:rsidRPr="005F2112">
              <w:rPr>
                <w:sz w:val="20"/>
              </w:rPr>
              <w:t>0.</w:t>
            </w:r>
            <w:r>
              <w:rPr>
                <w:sz w:val="20"/>
              </w:rPr>
              <w:t>0000</w:t>
            </w:r>
          </w:p>
        </w:tc>
        <w:tc>
          <w:tcPr>
            <w:tcW w:w="236" w:type="dxa"/>
            <w:tcBorders>
              <w:top w:val="nil"/>
              <w:bottom w:val="nil"/>
            </w:tcBorders>
            <w:vAlign w:val="bottom"/>
          </w:tcPr>
          <w:p w14:paraId="06DCF8C2" w14:textId="77777777" w:rsidR="005D24E7" w:rsidRPr="005F2112" w:rsidRDefault="005D24E7" w:rsidP="00ED472F">
            <w:pPr>
              <w:pStyle w:val="BodyText"/>
              <w:spacing w:after="0"/>
              <w:jc w:val="center"/>
              <w:rPr>
                <w:sz w:val="20"/>
              </w:rPr>
            </w:pPr>
          </w:p>
        </w:tc>
        <w:tc>
          <w:tcPr>
            <w:tcW w:w="1564" w:type="dxa"/>
            <w:tcBorders>
              <w:top w:val="nil"/>
              <w:bottom w:val="nil"/>
              <w:right w:val="single" w:sz="6" w:space="0" w:color="auto"/>
            </w:tcBorders>
            <w:vAlign w:val="bottom"/>
          </w:tcPr>
          <w:p w14:paraId="663FD230" w14:textId="77777777" w:rsidR="005D24E7" w:rsidRPr="005F2112" w:rsidRDefault="005D24E7" w:rsidP="00ED472F">
            <w:pPr>
              <w:pStyle w:val="BodyText"/>
              <w:spacing w:after="0"/>
              <w:jc w:val="center"/>
              <w:rPr>
                <w:sz w:val="20"/>
              </w:rPr>
            </w:pPr>
            <w:r>
              <w:rPr>
                <w:sz w:val="20"/>
              </w:rPr>
              <w:t xml:space="preserve"> 0</w:t>
            </w:r>
            <w:r w:rsidRPr="005F2112">
              <w:rPr>
                <w:sz w:val="20"/>
              </w:rPr>
              <w:t>%</w:t>
            </w:r>
          </w:p>
        </w:tc>
        <w:tc>
          <w:tcPr>
            <w:tcW w:w="236" w:type="dxa"/>
            <w:tcBorders>
              <w:top w:val="nil"/>
              <w:left w:val="single" w:sz="6" w:space="0" w:color="auto"/>
              <w:bottom w:val="nil"/>
              <w:right w:val="single" w:sz="6" w:space="0" w:color="auto"/>
            </w:tcBorders>
            <w:vAlign w:val="bottom"/>
          </w:tcPr>
          <w:p w14:paraId="396F5F9E" w14:textId="77777777" w:rsidR="005D24E7" w:rsidRPr="005F2112" w:rsidRDefault="005D24E7" w:rsidP="00ED472F">
            <w:pPr>
              <w:pStyle w:val="BodyText"/>
              <w:spacing w:after="0"/>
              <w:jc w:val="center"/>
              <w:rPr>
                <w:sz w:val="20"/>
              </w:rPr>
            </w:pPr>
          </w:p>
        </w:tc>
        <w:tc>
          <w:tcPr>
            <w:tcW w:w="1784" w:type="dxa"/>
            <w:tcBorders>
              <w:top w:val="nil"/>
              <w:left w:val="single" w:sz="6" w:space="0" w:color="auto"/>
              <w:bottom w:val="nil"/>
            </w:tcBorders>
            <w:vAlign w:val="bottom"/>
          </w:tcPr>
          <w:p w14:paraId="00B4049F" w14:textId="77777777" w:rsidR="005D24E7" w:rsidRPr="005F2112" w:rsidRDefault="005D24E7" w:rsidP="00ED472F">
            <w:pPr>
              <w:pStyle w:val="BodyText"/>
              <w:spacing w:after="0"/>
              <w:jc w:val="center"/>
              <w:rPr>
                <w:sz w:val="20"/>
              </w:rPr>
            </w:pPr>
            <w:r w:rsidRPr="005F2112">
              <w:rPr>
                <w:sz w:val="20"/>
              </w:rPr>
              <w:t>0.</w:t>
            </w:r>
            <w:r>
              <w:rPr>
                <w:sz w:val="20"/>
              </w:rPr>
              <w:t>0000</w:t>
            </w:r>
          </w:p>
        </w:tc>
        <w:tc>
          <w:tcPr>
            <w:tcW w:w="236" w:type="dxa"/>
            <w:tcBorders>
              <w:top w:val="nil"/>
              <w:bottom w:val="nil"/>
            </w:tcBorders>
            <w:vAlign w:val="bottom"/>
          </w:tcPr>
          <w:p w14:paraId="15220189" w14:textId="77777777" w:rsidR="005D24E7" w:rsidRPr="005F2112" w:rsidRDefault="005D24E7" w:rsidP="00ED472F">
            <w:pPr>
              <w:pStyle w:val="BodyText"/>
              <w:spacing w:after="0"/>
              <w:jc w:val="center"/>
              <w:rPr>
                <w:sz w:val="20"/>
              </w:rPr>
            </w:pPr>
            <w:r w:rsidRPr="005F2112">
              <w:rPr>
                <w:sz w:val="20"/>
              </w:rPr>
              <w:t xml:space="preserve">  </w:t>
            </w:r>
          </w:p>
        </w:tc>
        <w:tc>
          <w:tcPr>
            <w:tcW w:w="1508" w:type="dxa"/>
            <w:tcBorders>
              <w:top w:val="nil"/>
              <w:bottom w:val="nil"/>
              <w:right w:val="single" w:sz="6" w:space="0" w:color="auto"/>
            </w:tcBorders>
            <w:vAlign w:val="bottom"/>
          </w:tcPr>
          <w:p w14:paraId="54A199F8" w14:textId="77777777" w:rsidR="005D24E7" w:rsidRPr="005F2112" w:rsidRDefault="005D24E7" w:rsidP="00ED472F">
            <w:pPr>
              <w:pStyle w:val="BodyText"/>
              <w:spacing w:after="0"/>
              <w:jc w:val="center"/>
              <w:rPr>
                <w:sz w:val="20"/>
              </w:rPr>
            </w:pPr>
            <w:r>
              <w:rPr>
                <w:sz w:val="20"/>
              </w:rPr>
              <w:t>0</w:t>
            </w:r>
            <w:r w:rsidRPr="005F2112">
              <w:rPr>
                <w:sz w:val="20"/>
              </w:rPr>
              <w:t>%</w:t>
            </w:r>
          </w:p>
        </w:tc>
      </w:tr>
      <w:tr w:rsidR="005D24E7" w:rsidRPr="00E20A1E" w14:paraId="64F5D1E2" w14:textId="77777777" w:rsidTr="00ED472F">
        <w:tc>
          <w:tcPr>
            <w:tcW w:w="2212" w:type="dxa"/>
            <w:tcBorders>
              <w:top w:val="nil"/>
              <w:left w:val="nil"/>
              <w:bottom w:val="single" w:sz="4" w:space="0" w:color="auto"/>
            </w:tcBorders>
            <w:vAlign w:val="bottom"/>
          </w:tcPr>
          <w:p w14:paraId="52295902" w14:textId="77777777" w:rsidR="005D24E7" w:rsidRPr="00E20A1E" w:rsidRDefault="005D24E7" w:rsidP="00ED472F">
            <w:pPr>
              <w:pStyle w:val="BodyText"/>
              <w:spacing w:after="0"/>
              <w:ind w:left="288" w:hanging="288"/>
              <w:rPr>
                <w:sz w:val="20"/>
              </w:rPr>
            </w:pPr>
            <w:r w:rsidRPr="00E20A1E">
              <w:rPr>
                <w:sz w:val="20"/>
              </w:rPr>
              <w:t>Return of Capital or Other Capital Source</w:t>
            </w:r>
          </w:p>
        </w:tc>
        <w:tc>
          <w:tcPr>
            <w:tcW w:w="236" w:type="dxa"/>
            <w:tcBorders>
              <w:top w:val="nil"/>
              <w:bottom w:val="single" w:sz="4" w:space="0" w:color="auto"/>
              <w:right w:val="single" w:sz="6" w:space="0" w:color="auto"/>
            </w:tcBorders>
          </w:tcPr>
          <w:p w14:paraId="17488FA6" w14:textId="77777777" w:rsidR="005D24E7" w:rsidRPr="00E20A1E" w:rsidRDefault="005D24E7" w:rsidP="00ED472F">
            <w:pPr>
              <w:pStyle w:val="BodyText"/>
              <w:spacing w:after="0"/>
              <w:rPr>
                <w:sz w:val="20"/>
              </w:rPr>
            </w:pPr>
          </w:p>
        </w:tc>
        <w:tc>
          <w:tcPr>
            <w:tcW w:w="1564" w:type="dxa"/>
            <w:tcBorders>
              <w:top w:val="nil"/>
              <w:left w:val="single" w:sz="6" w:space="0" w:color="auto"/>
              <w:bottom w:val="single" w:sz="4" w:space="0" w:color="auto"/>
            </w:tcBorders>
            <w:vAlign w:val="bottom"/>
          </w:tcPr>
          <w:p w14:paraId="55BB98B0" w14:textId="77777777" w:rsidR="005D24E7" w:rsidRPr="005F2112" w:rsidRDefault="005D24E7" w:rsidP="00ED472F">
            <w:pPr>
              <w:pStyle w:val="BodyText"/>
              <w:spacing w:after="0"/>
              <w:jc w:val="center"/>
              <w:rPr>
                <w:sz w:val="20"/>
              </w:rPr>
            </w:pPr>
            <w:r w:rsidRPr="005F2112">
              <w:rPr>
                <w:sz w:val="20"/>
              </w:rPr>
              <w:t>0.</w:t>
            </w:r>
            <w:r>
              <w:rPr>
                <w:sz w:val="20"/>
              </w:rPr>
              <w:t>0085</w:t>
            </w:r>
          </w:p>
        </w:tc>
        <w:tc>
          <w:tcPr>
            <w:tcW w:w="236" w:type="dxa"/>
            <w:tcBorders>
              <w:top w:val="nil"/>
              <w:bottom w:val="single" w:sz="4" w:space="0" w:color="auto"/>
            </w:tcBorders>
            <w:vAlign w:val="bottom"/>
          </w:tcPr>
          <w:p w14:paraId="18DD796C" w14:textId="77777777" w:rsidR="005D24E7" w:rsidRPr="005F2112" w:rsidRDefault="005D24E7" w:rsidP="00ED472F">
            <w:pPr>
              <w:pStyle w:val="BodyText"/>
              <w:spacing w:after="0"/>
              <w:jc w:val="center"/>
              <w:rPr>
                <w:sz w:val="20"/>
              </w:rPr>
            </w:pPr>
          </w:p>
        </w:tc>
        <w:tc>
          <w:tcPr>
            <w:tcW w:w="1564" w:type="dxa"/>
            <w:tcBorders>
              <w:top w:val="nil"/>
              <w:bottom w:val="single" w:sz="4" w:space="0" w:color="auto"/>
              <w:right w:val="single" w:sz="6" w:space="0" w:color="auto"/>
            </w:tcBorders>
            <w:vAlign w:val="bottom"/>
          </w:tcPr>
          <w:p w14:paraId="0387E3C7" w14:textId="77777777" w:rsidR="005D24E7" w:rsidRPr="005F2112" w:rsidRDefault="005D24E7" w:rsidP="00ED472F">
            <w:pPr>
              <w:pStyle w:val="BodyText"/>
              <w:spacing w:after="0"/>
              <w:jc w:val="center"/>
              <w:rPr>
                <w:sz w:val="20"/>
              </w:rPr>
            </w:pPr>
            <w:r>
              <w:rPr>
                <w:sz w:val="20"/>
              </w:rPr>
              <w:t>10</w:t>
            </w:r>
            <w:r w:rsidRPr="005F2112">
              <w:rPr>
                <w:sz w:val="20"/>
              </w:rPr>
              <w:t>%</w:t>
            </w:r>
          </w:p>
        </w:tc>
        <w:tc>
          <w:tcPr>
            <w:tcW w:w="236" w:type="dxa"/>
            <w:tcBorders>
              <w:top w:val="nil"/>
              <w:left w:val="single" w:sz="6" w:space="0" w:color="auto"/>
              <w:bottom w:val="nil"/>
              <w:right w:val="single" w:sz="6" w:space="0" w:color="auto"/>
            </w:tcBorders>
            <w:vAlign w:val="bottom"/>
          </w:tcPr>
          <w:p w14:paraId="0F39FDF9" w14:textId="77777777" w:rsidR="005D24E7" w:rsidRPr="005F2112" w:rsidRDefault="005D24E7" w:rsidP="00ED472F">
            <w:pPr>
              <w:pStyle w:val="BodyText"/>
              <w:spacing w:after="0"/>
              <w:jc w:val="center"/>
              <w:rPr>
                <w:sz w:val="20"/>
              </w:rPr>
            </w:pPr>
          </w:p>
        </w:tc>
        <w:tc>
          <w:tcPr>
            <w:tcW w:w="1784" w:type="dxa"/>
            <w:tcBorders>
              <w:top w:val="nil"/>
              <w:left w:val="single" w:sz="6" w:space="0" w:color="auto"/>
              <w:bottom w:val="single" w:sz="4" w:space="0" w:color="auto"/>
            </w:tcBorders>
            <w:vAlign w:val="bottom"/>
          </w:tcPr>
          <w:p w14:paraId="3ED0E12B" w14:textId="77777777" w:rsidR="005D24E7" w:rsidRPr="005F2112" w:rsidRDefault="005D24E7" w:rsidP="00ED472F">
            <w:pPr>
              <w:pStyle w:val="BodyText"/>
              <w:spacing w:after="0"/>
              <w:jc w:val="center"/>
              <w:rPr>
                <w:sz w:val="20"/>
              </w:rPr>
            </w:pPr>
            <w:r w:rsidRPr="005F2112">
              <w:rPr>
                <w:sz w:val="20"/>
              </w:rPr>
              <w:t>0</w:t>
            </w:r>
            <w:r>
              <w:rPr>
                <w:sz w:val="20"/>
              </w:rPr>
              <w:t>.1971</w:t>
            </w:r>
          </w:p>
        </w:tc>
        <w:tc>
          <w:tcPr>
            <w:tcW w:w="236" w:type="dxa"/>
            <w:tcBorders>
              <w:top w:val="nil"/>
              <w:bottom w:val="single" w:sz="4" w:space="0" w:color="auto"/>
            </w:tcBorders>
            <w:vAlign w:val="bottom"/>
          </w:tcPr>
          <w:p w14:paraId="6E5B12CC" w14:textId="77777777" w:rsidR="005D24E7" w:rsidRPr="005F2112" w:rsidRDefault="005D24E7" w:rsidP="00ED472F">
            <w:pPr>
              <w:pStyle w:val="BodyText"/>
              <w:spacing w:after="0"/>
              <w:jc w:val="center"/>
              <w:rPr>
                <w:sz w:val="20"/>
              </w:rPr>
            </w:pPr>
          </w:p>
        </w:tc>
        <w:tc>
          <w:tcPr>
            <w:tcW w:w="1508" w:type="dxa"/>
            <w:tcBorders>
              <w:top w:val="nil"/>
              <w:bottom w:val="single" w:sz="4" w:space="0" w:color="auto"/>
              <w:right w:val="single" w:sz="6" w:space="0" w:color="auto"/>
            </w:tcBorders>
            <w:vAlign w:val="bottom"/>
          </w:tcPr>
          <w:p w14:paraId="36ED16B1" w14:textId="77777777" w:rsidR="005D24E7" w:rsidRPr="005F2112" w:rsidRDefault="005D24E7" w:rsidP="00ED472F">
            <w:pPr>
              <w:pStyle w:val="BodyText"/>
              <w:spacing w:after="0"/>
              <w:rPr>
                <w:sz w:val="20"/>
              </w:rPr>
            </w:pPr>
          </w:p>
          <w:p w14:paraId="408C646F" w14:textId="77777777" w:rsidR="005D24E7" w:rsidRPr="005F2112" w:rsidRDefault="005D24E7" w:rsidP="00ED472F">
            <w:pPr>
              <w:pStyle w:val="BodyText"/>
              <w:spacing w:after="0"/>
              <w:jc w:val="center"/>
              <w:rPr>
                <w:sz w:val="20"/>
              </w:rPr>
            </w:pPr>
            <w:r>
              <w:rPr>
                <w:sz w:val="20"/>
              </w:rPr>
              <w:t>34</w:t>
            </w:r>
            <w:r w:rsidRPr="005F2112">
              <w:rPr>
                <w:sz w:val="20"/>
              </w:rPr>
              <w:t>%</w:t>
            </w:r>
          </w:p>
        </w:tc>
      </w:tr>
      <w:tr w:rsidR="005D24E7" w:rsidRPr="00E20A1E" w14:paraId="48C30526" w14:textId="77777777" w:rsidTr="00ED472F">
        <w:tc>
          <w:tcPr>
            <w:tcW w:w="2212" w:type="dxa"/>
            <w:tcBorders>
              <w:top w:val="single" w:sz="4" w:space="0" w:color="auto"/>
              <w:left w:val="nil"/>
              <w:bottom w:val="nil"/>
            </w:tcBorders>
            <w:vAlign w:val="bottom"/>
          </w:tcPr>
          <w:p w14:paraId="4581C9F5" w14:textId="77777777" w:rsidR="005D24E7" w:rsidRDefault="005D24E7" w:rsidP="00ED472F">
            <w:pPr>
              <w:pStyle w:val="BodyText"/>
              <w:spacing w:after="0"/>
              <w:rPr>
                <w:sz w:val="20"/>
              </w:rPr>
            </w:pPr>
          </w:p>
          <w:p w14:paraId="1F2D8357" w14:textId="77777777" w:rsidR="005D24E7" w:rsidRPr="00E20A1E" w:rsidRDefault="005D24E7" w:rsidP="00ED472F">
            <w:pPr>
              <w:pStyle w:val="BodyText"/>
              <w:spacing w:after="0"/>
              <w:rPr>
                <w:sz w:val="20"/>
              </w:rPr>
            </w:pPr>
            <w:r w:rsidRPr="00E20A1E">
              <w:rPr>
                <w:sz w:val="20"/>
              </w:rPr>
              <w:t xml:space="preserve">Total per common share </w:t>
            </w:r>
          </w:p>
        </w:tc>
        <w:tc>
          <w:tcPr>
            <w:tcW w:w="236" w:type="dxa"/>
            <w:tcBorders>
              <w:top w:val="single" w:sz="4" w:space="0" w:color="auto"/>
              <w:bottom w:val="nil"/>
              <w:right w:val="single" w:sz="6" w:space="0" w:color="auto"/>
            </w:tcBorders>
          </w:tcPr>
          <w:p w14:paraId="30145116" w14:textId="77777777" w:rsidR="005D24E7" w:rsidRPr="00E20A1E" w:rsidRDefault="005D24E7" w:rsidP="00ED472F">
            <w:pPr>
              <w:pStyle w:val="BodyText"/>
              <w:spacing w:after="0"/>
              <w:rPr>
                <w:sz w:val="20"/>
              </w:rPr>
            </w:pPr>
          </w:p>
        </w:tc>
        <w:tc>
          <w:tcPr>
            <w:tcW w:w="1564" w:type="dxa"/>
            <w:tcBorders>
              <w:top w:val="single" w:sz="4" w:space="0" w:color="auto"/>
              <w:left w:val="single" w:sz="6" w:space="0" w:color="auto"/>
              <w:bottom w:val="nil"/>
            </w:tcBorders>
            <w:vAlign w:val="bottom"/>
          </w:tcPr>
          <w:p w14:paraId="1677807A" w14:textId="77777777" w:rsidR="005D24E7" w:rsidRPr="00E20A1E" w:rsidRDefault="005D24E7" w:rsidP="00ED472F">
            <w:pPr>
              <w:pStyle w:val="BodyText"/>
              <w:spacing w:after="0"/>
              <w:jc w:val="center"/>
              <w:rPr>
                <w:sz w:val="20"/>
              </w:rPr>
            </w:pPr>
            <w:r w:rsidRPr="00E20A1E">
              <w:rPr>
                <w:sz w:val="20"/>
              </w:rPr>
              <w:t>0.</w:t>
            </w:r>
            <w:r>
              <w:rPr>
                <w:sz w:val="20"/>
              </w:rPr>
              <w:t>0825</w:t>
            </w:r>
          </w:p>
        </w:tc>
        <w:tc>
          <w:tcPr>
            <w:tcW w:w="236" w:type="dxa"/>
            <w:tcBorders>
              <w:top w:val="single" w:sz="4" w:space="0" w:color="auto"/>
              <w:bottom w:val="nil"/>
            </w:tcBorders>
            <w:vAlign w:val="bottom"/>
          </w:tcPr>
          <w:p w14:paraId="018886BD" w14:textId="77777777" w:rsidR="005D24E7" w:rsidRPr="00E20A1E" w:rsidRDefault="005D24E7" w:rsidP="00ED472F">
            <w:pPr>
              <w:pStyle w:val="BodyText"/>
              <w:spacing w:after="0"/>
              <w:jc w:val="center"/>
              <w:rPr>
                <w:sz w:val="20"/>
              </w:rPr>
            </w:pPr>
          </w:p>
        </w:tc>
        <w:tc>
          <w:tcPr>
            <w:tcW w:w="1564" w:type="dxa"/>
            <w:tcBorders>
              <w:top w:val="single" w:sz="4" w:space="0" w:color="auto"/>
              <w:bottom w:val="nil"/>
              <w:right w:val="single" w:sz="6" w:space="0" w:color="auto"/>
            </w:tcBorders>
            <w:vAlign w:val="bottom"/>
          </w:tcPr>
          <w:p w14:paraId="6DA5BFE6" w14:textId="77777777" w:rsidR="005D24E7" w:rsidRPr="00E20A1E" w:rsidRDefault="005D24E7" w:rsidP="00ED472F">
            <w:pPr>
              <w:pStyle w:val="BodyText"/>
              <w:spacing w:after="0"/>
              <w:jc w:val="center"/>
              <w:rPr>
                <w:sz w:val="20"/>
              </w:rPr>
            </w:pPr>
            <w:r w:rsidRPr="00E20A1E">
              <w:rPr>
                <w:sz w:val="20"/>
              </w:rPr>
              <w:t>100%</w:t>
            </w:r>
          </w:p>
        </w:tc>
        <w:tc>
          <w:tcPr>
            <w:tcW w:w="236" w:type="dxa"/>
            <w:tcBorders>
              <w:top w:val="nil"/>
              <w:left w:val="single" w:sz="6" w:space="0" w:color="auto"/>
              <w:bottom w:val="nil"/>
              <w:right w:val="single" w:sz="6" w:space="0" w:color="auto"/>
            </w:tcBorders>
            <w:vAlign w:val="bottom"/>
          </w:tcPr>
          <w:p w14:paraId="0ABFC016" w14:textId="77777777" w:rsidR="005D24E7" w:rsidRPr="00E20A1E" w:rsidRDefault="005D24E7" w:rsidP="00ED472F">
            <w:pPr>
              <w:pStyle w:val="BodyText"/>
              <w:spacing w:after="0"/>
              <w:jc w:val="center"/>
              <w:rPr>
                <w:sz w:val="20"/>
              </w:rPr>
            </w:pPr>
          </w:p>
        </w:tc>
        <w:tc>
          <w:tcPr>
            <w:tcW w:w="1784" w:type="dxa"/>
            <w:tcBorders>
              <w:top w:val="single" w:sz="4" w:space="0" w:color="auto"/>
              <w:left w:val="single" w:sz="6" w:space="0" w:color="auto"/>
              <w:bottom w:val="nil"/>
            </w:tcBorders>
            <w:vAlign w:val="bottom"/>
          </w:tcPr>
          <w:p w14:paraId="7938CFCD" w14:textId="77777777" w:rsidR="005D24E7" w:rsidRPr="001A5C7C" w:rsidRDefault="005D24E7" w:rsidP="00ED472F">
            <w:pPr>
              <w:pStyle w:val="BodyText"/>
              <w:spacing w:after="0"/>
              <w:jc w:val="center"/>
              <w:rPr>
                <w:sz w:val="20"/>
              </w:rPr>
            </w:pPr>
            <w:r>
              <w:rPr>
                <w:sz w:val="20"/>
              </w:rPr>
              <w:t>0.5775</w:t>
            </w:r>
          </w:p>
        </w:tc>
        <w:tc>
          <w:tcPr>
            <w:tcW w:w="236" w:type="dxa"/>
            <w:tcBorders>
              <w:top w:val="single" w:sz="4" w:space="0" w:color="auto"/>
              <w:bottom w:val="nil"/>
            </w:tcBorders>
            <w:vAlign w:val="bottom"/>
          </w:tcPr>
          <w:p w14:paraId="1388D413" w14:textId="77777777" w:rsidR="005D24E7" w:rsidRPr="001A5C7C" w:rsidRDefault="005D24E7" w:rsidP="00ED472F">
            <w:pPr>
              <w:pStyle w:val="BodyText"/>
              <w:spacing w:after="0"/>
              <w:jc w:val="center"/>
              <w:rPr>
                <w:sz w:val="20"/>
              </w:rPr>
            </w:pPr>
          </w:p>
        </w:tc>
        <w:tc>
          <w:tcPr>
            <w:tcW w:w="1508" w:type="dxa"/>
            <w:tcBorders>
              <w:top w:val="single" w:sz="4" w:space="0" w:color="auto"/>
              <w:bottom w:val="nil"/>
              <w:right w:val="single" w:sz="6" w:space="0" w:color="auto"/>
            </w:tcBorders>
            <w:vAlign w:val="bottom"/>
          </w:tcPr>
          <w:p w14:paraId="033CA643" w14:textId="77777777" w:rsidR="005D24E7" w:rsidRPr="001A5C7C" w:rsidRDefault="005D24E7" w:rsidP="00ED472F">
            <w:pPr>
              <w:pStyle w:val="BodyText"/>
              <w:spacing w:after="0"/>
              <w:jc w:val="center"/>
              <w:rPr>
                <w:sz w:val="20"/>
              </w:rPr>
            </w:pPr>
            <w:r w:rsidRPr="001A5C7C">
              <w:rPr>
                <w:sz w:val="20"/>
              </w:rPr>
              <w:t>100%</w:t>
            </w:r>
          </w:p>
        </w:tc>
      </w:tr>
      <w:tr w:rsidR="005D24E7" w:rsidRPr="00E20A1E" w14:paraId="2C30AD3D" w14:textId="77777777" w:rsidTr="00ED472F">
        <w:tc>
          <w:tcPr>
            <w:tcW w:w="2212" w:type="dxa"/>
            <w:tcBorders>
              <w:top w:val="nil"/>
              <w:left w:val="nil"/>
              <w:bottom w:val="nil"/>
            </w:tcBorders>
          </w:tcPr>
          <w:p w14:paraId="7CA94E1B" w14:textId="77777777" w:rsidR="005D24E7" w:rsidRPr="00E20A1E" w:rsidRDefault="005D24E7" w:rsidP="00ED472F">
            <w:pPr>
              <w:pStyle w:val="BodyText"/>
              <w:spacing w:after="0"/>
              <w:rPr>
                <w:sz w:val="20"/>
              </w:rPr>
            </w:pPr>
          </w:p>
        </w:tc>
        <w:tc>
          <w:tcPr>
            <w:tcW w:w="236" w:type="dxa"/>
            <w:tcBorders>
              <w:top w:val="nil"/>
              <w:bottom w:val="nil"/>
              <w:right w:val="single" w:sz="6" w:space="0" w:color="auto"/>
            </w:tcBorders>
          </w:tcPr>
          <w:p w14:paraId="062667B6" w14:textId="77777777" w:rsidR="005D24E7" w:rsidRPr="00E20A1E" w:rsidRDefault="005D24E7" w:rsidP="00ED472F">
            <w:pPr>
              <w:pStyle w:val="BodyText"/>
              <w:spacing w:after="0"/>
              <w:rPr>
                <w:sz w:val="20"/>
              </w:rPr>
            </w:pPr>
          </w:p>
        </w:tc>
        <w:tc>
          <w:tcPr>
            <w:tcW w:w="1564" w:type="dxa"/>
            <w:tcBorders>
              <w:top w:val="nil"/>
              <w:left w:val="single" w:sz="6" w:space="0" w:color="auto"/>
              <w:bottom w:val="single" w:sz="6" w:space="0" w:color="auto"/>
            </w:tcBorders>
            <w:vAlign w:val="bottom"/>
          </w:tcPr>
          <w:p w14:paraId="0A655503" w14:textId="77777777" w:rsidR="005D24E7" w:rsidRPr="00E20A1E" w:rsidRDefault="005D24E7" w:rsidP="00ED472F">
            <w:pPr>
              <w:pStyle w:val="BodyText"/>
              <w:spacing w:after="0"/>
              <w:jc w:val="center"/>
              <w:rPr>
                <w:sz w:val="20"/>
              </w:rPr>
            </w:pPr>
          </w:p>
        </w:tc>
        <w:tc>
          <w:tcPr>
            <w:tcW w:w="236" w:type="dxa"/>
            <w:tcBorders>
              <w:top w:val="nil"/>
              <w:bottom w:val="single" w:sz="6" w:space="0" w:color="auto"/>
            </w:tcBorders>
            <w:vAlign w:val="bottom"/>
          </w:tcPr>
          <w:p w14:paraId="6C7B07CA" w14:textId="77777777" w:rsidR="005D24E7" w:rsidRPr="00E20A1E" w:rsidRDefault="005D24E7" w:rsidP="00ED472F">
            <w:pPr>
              <w:pStyle w:val="BodyText"/>
              <w:spacing w:after="0"/>
              <w:jc w:val="center"/>
              <w:rPr>
                <w:sz w:val="20"/>
              </w:rPr>
            </w:pPr>
          </w:p>
        </w:tc>
        <w:tc>
          <w:tcPr>
            <w:tcW w:w="1564" w:type="dxa"/>
            <w:tcBorders>
              <w:top w:val="nil"/>
              <w:bottom w:val="single" w:sz="6" w:space="0" w:color="auto"/>
              <w:right w:val="single" w:sz="6" w:space="0" w:color="auto"/>
            </w:tcBorders>
            <w:vAlign w:val="bottom"/>
          </w:tcPr>
          <w:p w14:paraId="46E6B6F6" w14:textId="77777777" w:rsidR="005D24E7" w:rsidRPr="00E20A1E" w:rsidRDefault="005D24E7" w:rsidP="00ED472F">
            <w:pPr>
              <w:pStyle w:val="BodyText"/>
              <w:spacing w:after="0"/>
              <w:jc w:val="center"/>
              <w:rPr>
                <w:sz w:val="20"/>
              </w:rPr>
            </w:pPr>
          </w:p>
        </w:tc>
        <w:tc>
          <w:tcPr>
            <w:tcW w:w="236" w:type="dxa"/>
            <w:tcBorders>
              <w:top w:val="nil"/>
              <w:left w:val="single" w:sz="6" w:space="0" w:color="auto"/>
              <w:bottom w:val="nil"/>
              <w:right w:val="single" w:sz="6" w:space="0" w:color="auto"/>
            </w:tcBorders>
            <w:vAlign w:val="bottom"/>
          </w:tcPr>
          <w:p w14:paraId="1C05C879" w14:textId="77777777" w:rsidR="005D24E7" w:rsidRPr="00E20A1E" w:rsidRDefault="005D24E7" w:rsidP="00ED472F">
            <w:pPr>
              <w:pStyle w:val="BodyText"/>
              <w:spacing w:after="0"/>
              <w:jc w:val="center"/>
              <w:rPr>
                <w:sz w:val="20"/>
              </w:rPr>
            </w:pPr>
          </w:p>
        </w:tc>
        <w:tc>
          <w:tcPr>
            <w:tcW w:w="1784" w:type="dxa"/>
            <w:tcBorders>
              <w:top w:val="nil"/>
              <w:left w:val="single" w:sz="6" w:space="0" w:color="auto"/>
              <w:bottom w:val="single" w:sz="6" w:space="0" w:color="auto"/>
            </w:tcBorders>
            <w:vAlign w:val="bottom"/>
          </w:tcPr>
          <w:p w14:paraId="24E879EA" w14:textId="77777777" w:rsidR="005D24E7" w:rsidRPr="001A5C7C" w:rsidRDefault="005D24E7" w:rsidP="00ED472F">
            <w:pPr>
              <w:pStyle w:val="BodyText"/>
              <w:spacing w:after="0"/>
              <w:jc w:val="center"/>
              <w:rPr>
                <w:sz w:val="20"/>
              </w:rPr>
            </w:pPr>
          </w:p>
        </w:tc>
        <w:tc>
          <w:tcPr>
            <w:tcW w:w="236" w:type="dxa"/>
            <w:tcBorders>
              <w:top w:val="nil"/>
              <w:bottom w:val="single" w:sz="6" w:space="0" w:color="auto"/>
            </w:tcBorders>
            <w:vAlign w:val="bottom"/>
          </w:tcPr>
          <w:p w14:paraId="0599C314" w14:textId="77777777" w:rsidR="005D24E7" w:rsidRPr="001A5C7C" w:rsidRDefault="005D24E7" w:rsidP="00ED472F">
            <w:pPr>
              <w:pStyle w:val="BodyText"/>
              <w:spacing w:after="0"/>
              <w:jc w:val="center"/>
              <w:rPr>
                <w:sz w:val="20"/>
              </w:rPr>
            </w:pPr>
          </w:p>
        </w:tc>
        <w:tc>
          <w:tcPr>
            <w:tcW w:w="1508" w:type="dxa"/>
            <w:tcBorders>
              <w:top w:val="nil"/>
              <w:bottom w:val="single" w:sz="4" w:space="0" w:color="auto"/>
              <w:right w:val="single" w:sz="6" w:space="0" w:color="auto"/>
            </w:tcBorders>
            <w:vAlign w:val="bottom"/>
          </w:tcPr>
          <w:p w14:paraId="76DD8B29" w14:textId="77777777" w:rsidR="005D24E7" w:rsidRPr="001A5C7C" w:rsidRDefault="005D24E7" w:rsidP="00ED472F">
            <w:pPr>
              <w:pStyle w:val="BodyText"/>
              <w:spacing w:after="0"/>
              <w:jc w:val="center"/>
              <w:rPr>
                <w:sz w:val="20"/>
              </w:rPr>
            </w:pPr>
          </w:p>
        </w:tc>
      </w:tr>
      <w:tr w:rsidR="005D24E7" w:rsidRPr="00E20A1E" w14:paraId="1F2E3471" w14:textId="77777777" w:rsidTr="00ED472F">
        <w:tc>
          <w:tcPr>
            <w:tcW w:w="7832" w:type="dxa"/>
            <w:gridSpan w:val="7"/>
            <w:tcBorders>
              <w:top w:val="nil"/>
              <w:left w:val="nil"/>
              <w:bottom w:val="nil"/>
            </w:tcBorders>
          </w:tcPr>
          <w:p w14:paraId="6272D50D" w14:textId="77777777" w:rsidR="005D24E7" w:rsidRDefault="005D24E7" w:rsidP="00ED472F">
            <w:pPr>
              <w:pStyle w:val="BodyText"/>
              <w:spacing w:after="0"/>
              <w:rPr>
                <w:sz w:val="20"/>
              </w:rPr>
            </w:pPr>
          </w:p>
          <w:p w14:paraId="6A643008" w14:textId="77777777" w:rsidR="005D24E7" w:rsidRDefault="005D24E7" w:rsidP="00ED472F">
            <w:pPr>
              <w:pStyle w:val="BodyText"/>
              <w:spacing w:after="0"/>
              <w:rPr>
                <w:sz w:val="20"/>
              </w:rPr>
            </w:pPr>
          </w:p>
          <w:p w14:paraId="20939AB8" w14:textId="77777777" w:rsidR="005D24E7" w:rsidRPr="001A5C7C" w:rsidRDefault="005D24E7" w:rsidP="00ED472F">
            <w:pPr>
              <w:pStyle w:val="BodyText"/>
              <w:spacing w:after="0"/>
              <w:rPr>
                <w:sz w:val="20"/>
              </w:rPr>
            </w:pPr>
            <w:r w:rsidRPr="00202672">
              <w:rPr>
                <w:sz w:val="20"/>
              </w:rPr>
              <w:t xml:space="preserve">Average annual total return (in relation to NAV) for the 5 years ended on </w:t>
            </w:r>
            <w:r>
              <w:rPr>
                <w:sz w:val="20"/>
              </w:rPr>
              <w:t>April 30, 2024</w:t>
            </w:r>
          </w:p>
        </w:tc>
        <w:tc>
          <w:tcPr>
            <w:tcW w:w="236" w:type="dxa"/>
            <w:tcBorders>
              <w:top w:val="nil"/>
              <w:bottom w:val="nil"/>
            </w:tcBorders>
          </w:tcPr>
          <w:p w14:paraId="59A34954" w14:textId="77777777" w:rsidR="005D24E7" w:rsidRPr="001A5C7C" w:rsidRDefault="005D24E7" w:rsidP="00ED472F">
            <w:pPr>
              <w:pStyle w:val="BodyText"/>
              <w:spacing w:after="0"/>
              <w:rPr>
                <w:sz w:val="20"/>
              </w:rPr>
            </w:pPr>
          </w:p>
        </w:tc>
        <w:tc>
          <w:tcPr>
            <w:tcW w:w="1508" w:type="dxa"/>
            <w:tcBorders>
              <w:top w:val="single" w:sz="4" w:space="0" w:color="auto"/>
              <w:bottom w:val="single" w:sz="4" w:space="0" w:color="auto"/>
              <w:right w:val="nil"/>
            </w:tcBorders>
            <w:vAlign w:val="bottom"/>
          </w:tcPr>
          <w:p w14:paraId="6840F61A" w14:textId="77777777" w:rsidR="005D24E7" w:rsidRPr="001A5C7C" w:rsidRDefault="005D24E7" w:rsidP="00ED472F">
            <w:pPr>
              <w:pStyle w:val="BodyText"/>
              <w:spacing w:after="0"/>
              <w:jc w:val="center"/>
              <w:rPr>
                <w:sz w:val="20"/>
              </w:rPr>
            </w:pPr>
            <w:r>
              <w:rPr>
                <w:sz w:val="20"/>
              </w:rPr>
              <w:t>4.00</w:t>
            </w:r>
            <w:r w:rsidRPr="001A5C7C">
              <w:rPr>
                <w:sz w:val="20"/>
              </w:rPr>
              <w:t>%</w:t>
            </w:r>
          </w:p>
        </w:tc>
      </w:tr>
      <w:tr w:rsidR="005D24E7" w:rsidRPr="00E20A1E" w14:paraId="48868B51" w14:textId="77777777" w:rsidTr="00ED472F">
        <w:tc>
          <w:tcPr>
            <w:tcW w:w="7832" w:type="dxa"/>
            <w:gridSpan w:val="7"/>
            <w:tcBorders>
              <w:top w:val="nil"/>
              <w:left w:val="nil"/>
              <w:bottom w:val="nil"/>
            </w:tcBorders>
          </w:tcPr>
          <w:p w14:paraId="4A9E833B" w14:textId="77777777" w:rsidR="005D24E7" w:rsidRPr="001A5C7C" w:rsidRDefault="005D24E7" w:rsidP="00ED472F">
            <w:pPr>
              <w:pStyle w:val="BodyText"/>
              <w:spacing w:after="0"/>
              <w:rPr>
                <w:sz w:val="20"/>
              </w:rPr>
            </w:pPr>
          </w:p>
        </w:tc>
        <w:tc>
          <w:tcPr>
            <w:tcW w:w="236" w:type="dxa"/>
            <w:tcBorders>
              <w:top w:val="nil"/>
              <w:bottom w:val="nil"/>
            </w:tcBorders>
          </w:tcPr>
          <w:p w14:paraId="3E1D4068" w14:textId="77777777" w:rsidR="005D24E7" w:rsidRPr="001A5C7C" w:rsidRDefault="005D24E7" w:rsidP="00ED472F">
            <w:pPr>
              <w:pStyle w:val="BodyText"/>
              <w:spacing w:after="0"/>
              <w:rPr>
                <w:sz w:val="20"/>
              </w:rPr>
            </w:pPr>
          </w:p>
        </w:tc>
        <w:tc>
          <w:tcPr>
            <w:tcW w:w="1508" w:type="dxa"/>
            <w:tcBorders>
              <w:top w:val="nil"/>
              <w:bottom w:val="nil"/>
              <w:right w:val="nil"/>
            </w:tcBorders>
            <w:vAlign w:val="bottom"/>
          </w:tcPr>
          <w:p w14:paraId="033CA4AF" w14:textId="77777777" w:rsidR="005D24E7" w:rsidRPr="001A5C7C" w:rsidRDefault="005D24E7" w:rsidP="00ED472F">
            <w:pPr>
              <w:pStyle w:val="BodyText"/>
              <w:spacing w:after="0"/>
              <w:rPr>
                <w:sz w:val="20"/>
              </w:rPr>
            </w:pPr>
          </w:p>
        </w:tc>
      </w:tr>
      <w:tr w:rsidR="005D24E7" w:rsidRPr="00E20A1E" w14:paraId="1EB7032C" w14:textId="77777777" w:rsidTr="00ED472F">
        <w:tc>
          <w:tcPr>
            <w:tcW w:w="7832" w:type="dxa"/>
            <w:gridSpan w:val="7"/>
            <w:tcBorders>
              <w:top w:val="nil"/>
              <w:left w:val="nil"/>
              <w:bottom w:val="nil"/>
            </w:tcBorders>
          </w:tcPr>
          <w:p w14:paraId="6C9B6FAD" w14:textId="77777777" w:rsidR="005D24E7" w:rsidRPr="001A5C7C" w:rsidRDefault="005D24E7" w:rsidP="00ED472F">
            <w:pPr>
              <w:pStyle w:val="BodyText"/>
              <w:spacing w:after="0"/>
              <w:rPr>
                <w:sz w:val="20"/>
              </w:rPr>
            </w:pPr>
            <w:r w:rsidRPr="001A5C7C">
              <w:rPr>
                <w:sz w:val="20"/>
              </w:rPr>
              <w:t>Annualized current distribution rate expressed a</w:t>
            </w:r>
            <w:r>
              <w:rPr>
                <w:sz w:val="20"/>
              </w:rPr>
              <w:t xml:space="preserve">s a percentage of </w:t>
            </w:r>
            <w:r w:rsidRPr="001A5C7C">
              <w:rPr>
                <w:sz w:val="20"/>
              </w:rPr>
              <w:t>NAV</w:t>
            </w:r>
            <w:r>
              <w:rPr>
                <w:sz w:val="20"/>
              </w:rPr>
              <w:t xml:space="preserve"> </w:t>
            </w:r>
            <w:r w:rsidRPr="001A5C7C">
              <w:rPr>
                <w:sz w:val="20"/>
              </w:rPr>
              <w:t xml:space="preserve">as of </w:t>
            </w:r>
            <w:r>
              <w:rPr>
                <w:sz w:val="20"/>
              </w:rPr>
              <w:t>April 30, 2024</w:t>
            </w:r>
          </w:p>
        </w:tc>
        <w:tc>
          <w:tcPr>
            <w:tcW w:w="236" w:type="dxa"/>
            <w:tcBorders>
              <w:top w:val="nil"/>
              <w:bottom w:val="nil"/>
            </w:tcBorders>
          </w:tcPr>
          <w:p w14:paraId="22183B1B" w14:textId="77777777" w:rsidR="005D24E7" w:rsidRPr="001A5C7C" w:rsidRDefault="005D24E7" w:rsidP="00ED472F">
            <w:pPr>
              <w:pStyle w:val="BodyText"/>
              <w:spacing w:after="0"/>
              <w:rPr>
                <w:sz w:val="20"/>
              </w:rPr>
            </w:pPr>
          </w:p>
        </w:tc>
        <w:tc>
          <w:tcPr>
            <w:tcW w:w="1508" w:type="dxa"/>
            <w:tcBorders>
              <w:top w:val="nil"/>
              <w:bottom w:val="single" w:sz="4" w:space="0" w:color="auto"/>
              <w:right w:val="nil"/>
            </w:tcBorders>
            <w:vAlign w:val="bottom"/>
          </w:tcPr>
          <w:p w14:paraId="16A04D02" w14:textId="77777777" w:rsidR="005D24E7" w:rsidRPr="001A5C7C" w:rsidRDefault="005D24E7" w:rsidP="00ED472F">
            <w:pPr>
              <w:pStyle w:val="BodyText"/>
              <w:spacing w:after="0"/>
              <w:jc w:val="center"/>
              <w:rPr>
                <w:sz w:val="20"/>
              </w:rPr>
            </w:pPr>
            <w:r>
              <w:rPr>
                <w:sz w:val="20"/>
              </w:rPr>
              <w:t>8.13</w:t>
            </w:r>
            <w:r w:rsidRPr="001A5C7C">
              <w:rPr>
                <w:sz w:val="20"/>
              </w:rPr>
              <w:t>%</w:t>
            </w:r>
          </w:p>
        </w:tc>
      </w:tr>
      <w:tr w:rsidR="005D24E7" w:rsidRPr="00E20A1E" w14:paraId="640F51F8" w14:textId="77777777" w:rsidTr="00ED472F">
        <w:tc>
          <w:tcPr>
            <w:tcW w:w="7832" w:type="dxa"/>
            <w:gridSpan w:val="7"/>
            <w:tcBorders>
              <w:top w:val="nil"/>
              <w:left w:val="nil"/>
              <w:bottom w:val="nil"/>
            </w:tcBorders>
          </w:tcPr>
          <w:p w14:paraId="6E01605C" w14:textId="77777777" w:rsidR="005D24E7" w:rsidRPr="001A5C7C" w:rsidRDefault="005D24E7" w:rsidP="00ED472F">
            <w:pPr>
              <w:pStyle w:val="BodyText"/>
              <w:spacing w:after="0"/>
              <w:rPr>
                <w:sz w:val="20"/>
              </w:rPr>
            </w:pPr>
          </w:p>
        </w:tc>
        <w:tc>
          <w:tcPr>
            <w:tcW w:w="236" w:type="dxa"/>
            <w:tcBorders>
              <w:top w:val="nil"/>
              <w:bottom w:val="nil"/>
            </w:tcBorders>
          </w:tcPr>
          <w:p w14:paraId="45DA9E29" w14:textId="77777777" w:rsidR="005D24E7" w:rsidRPr="001A5C7C" w:rsidRDefault="005D24E7" w:rsidP="00ED472F">
            <w:pPr>
              <w:pStyle w:val="BodyText"/>
              <w:spacing w:after="0"/>
              <w:rPr>
                <w:sz w:val="20"/>
              </w:rPr>
            </w:pPr>
          </w:p>
        </w:tc>
        <w:tc>
          <w:tcPr>
            <w:tcW w:w="1508" w:type="dxa"/>
            <w:tcBorders>
              <w:top w:val="single" w:sz="4" w:space="0" w:color="auto"/>
              <w:bottom w:val="nil"/>
              <w:right w:val="nil"/>
            </w:tcBorders>
            <w:vAlign w:val="bottom"/>
          </w:tcPr>
          <w:p w14:paraId="6EF264BB" w14:textId="77777777" w:rsidR="005D24E7" w:rsidRPr="001A5C7C" w:rsidRDefault="005D24E7" w:rsidP="00ED472F">
            <w:pPr>
              <w:pStyle w:val="BodyText"/>
              <w:spacing w:after="0"/>
              <w:jc w:val="center"/>
              <w:rPr>
                <w:sz w:val="20"/>
              </w:rPr>
            </w:pPr>
          </w:p>
        </w:tc>
      </w:tr>
      <w:tr w:rsidR="005D24E7" w:rsidRPr="00E20A1E" w14:paraId="501DE775" w14:textId="77777777" w:rsidTr="00ED472F">
        <w:trPr>
          <w:trHeight w:val="302"/>
        </w:trPr>
        <w:tc>
          <w:tcPr>
            <w:tcW w:w="7832" w:type="dxa"/>
            <w:gridSpan w:val="7"/>
            <w:tcBorders>
              <w:top w:val="nil"/>
              <w:left w:val="nil"/>
              <w:bottom w:val="nil"/>
            </w:tcBorders>
          </w:tcPr>
          <w:p w14:paraId="3AC870A2" w14:textId="77777777" w:rsidR="005D24E7" w:rsidRPr="001A5C7C" w:rsidRDefault="005D24E7" w:rsidP="00ED472F">
            <w:pPr>
              <w:pStyle w:val="BodyText"/>
              <w:spacing w:after="0"/>
              <w:rPr>
                <w:sz w:val="20"/>
              </w:rPr>
            </w:pPr>
            <w:r w:rsidRPr="00202672">
              <w:rPr>
                <w:sz w:val="20"/>
              </w:rPr>
              <w:t xml:space="preserve">Cumulative total return (in relation to NAV) for the fiscal year through </w:t>
            </w:r>
            <w:r>
              <w:rPr>
                <w:sz w:val="20"/>
              </w:rPr>
              <w:t>April 30, 2024</w:t>
            </w:r>
          </w:p>
        </w:tc>
        <w:tc>
          <w:tcPr>
            <w:tcW w:w="236" w:type="dxa"/>
            <w:tcBorders>
              <w:top w:val="nil"/>
              <w:bottom w:val="nil"/>
            </w:tcBorders>
          </w:tcPr>
          <w:p w14:paraId="3695D304" w14:textId="77777777" w:rsidR="005D24E7" w:rsidRPr="001A5C7C" w:rsidRDefault="005D24E7" w:rsidP="00ED472F">
            <w:pPr>
              <w:pStyle w:val="BodyText"/>
              <w:spacing w:after="0"/>
              <w:rPr>
                <w:sz w:val="20"/>
              </w:rPr>
            </w:pPr>
          </w:p>
        </w:tc>
        <w:tc>
          <w:tcPr>
            <w:tcW w:w="1508" w:type="dxa"/>
            <w:tcBorders>
              <w:top w:val="nil"/>
              <w:bottom w:val="single" w:sz="4" w:space="0" w:color="auto"/>
              <w:right w:val="nil"/>
            </w:tcBorders>
            <w:vAlign w:val="bottom"/>
          </w:tcPr>
          <w:p w14:paraId="2CCD03F7" w14:textId="77777777" w:rsidR="005D24E7" w:rsidRPr="001A5C7C" w:rsidRDefault="005D24E7" w:rsidP="00ED472F">
            <w:pPr>
              <w:pStyle w:val="BodyText"/>
              <w:spacing w:after="0"/>
              <w:jc w:val="center"/>
              <w:rPr>
                <w:sz w:val="20"/>
              </w:rPr>
            </w:pPr>
            <w:r>
              <w:rPr>
                <w:sz w:val="20"/>
              </w:rPr>
              <w:t>20.30</w:t>
            </w:r>
            <w:r w:rsidRPr="00F46A07">
              <w:rPr>
                <w:sz w:val="20"/>
              </w:rPr>
              <w:t>%</w:t>
            </w:r>
          </w:p>
        </w:tc>
      </w:tr>
      <w:tr w:rsidR="005D24E7" w:rsidRPr="00E20A1E" w14:paraId="197C7E52" w14:textId="77777777" w:rsidTr="00ED472F">
        <w:tc>
          <w:tcPr>
            <w:tcW w:w="7832" w:type="dxa"/>
            <w:gridSpan w:val="7"/>
            <w:tcBorders>
              <w:top w:val="nil"/>
              <w:left w:val="nil"/>
              <w:bottom w:val="nil"/>
            </w:tcBorders>
          </w:tcPr>
          <w:p w14:paraId="26454D58" w14:textId="77777777" w:rsidR="005D24E7" w:rsidRPr="001A5C7C" w:rsidRDefault="005D24E7" w:rsidP="00ED472F">
            <w:pPr>
              <w:pStyle w:val="BodyText"/>
              <w:spacing w:after="0"/>
              <w:rPr>
                <w:sz w:val="20"/>
              </w:rPr>
            </w:pPr>
          </w:p>
        </w:tc>
        <w:tc>
          <w:tcPr>
            <w:tcW w:w="236" w:type="dxa"/>
            <w:tcBorders>
              <w:top w:val="nil"/>
              <w:bottom w:val="nil"/>
            </w:tcBorders>
          </w:tcPr>
          <w:p w14:paraId="4BB4FAA4" w14:textId="77777777" w:rsidR="005D24E7" w:rsidRPr="001A5C7C" w:rsidRDefault="005D24E7" w:rsidP="00ED472F">
            <w:pPr>
              <w:pStyle w:val="BodyText"/>
              <w:spacing w:after="0"/>
              <w:rPr>
                <w:sz w:val="20"/>
              </w:rPr>
            </w:pPr>
          </w:p>
        </w:tc>
        <w:tc>
          <w:tcPr>
            <w:tcW w:w="1508" w:type="dxa"/>
            <w:tcBorders>
              <w:top w:val="single" w:sz="4" w:space="0" w:color="auto"/>
              <w:bottom w:val="nil"/>
              <w:right w:val="nil"/>
            </w:tcBorders>
            <w:vAlign w:val="bottom"/>
          </w:tcPr>
          <w:p w14:paraId="79003EF7" w14:textId="77777777" w:rsidR="005D24E7" w:rsidRPr="001A5C7C" w:rsidRDefault="005D24E7" w:rsidP="00ED472F">
            <w:pPr>
              <w:pStyle w:val="BodyText"/>
              <w:spacing w:after="0"/>
              <w:jc w:val="center"/>
              <w:rPr>
                <w:sz w:val="20"/>
              </w:rPr>
            </w:pPr>
          </w:p>
        </w:tc>
      </w:tr>
      <w:tr w:rsidR="005D24E7" w:rsidRPr="00E20A1E" w14:paraId="247DADA0" w14:textId="77777777" w:rsidTr="00ED472F">
        <w:tc>
          <w:tcPr>
            <w:tcW w:w="7832" w:type="dxa"/>
            <w:gridSpan w:val="7"/>
            <w:tcBorders>
              <w:top w:val="nil"/>
              <w:left w:val="nil"/>
              <w:bottom w:val="nil"/>
            </w:tcBorders>
          </w:tcPr>
          <w:p w14:paraId="5806DB8A" w14:textId="77777777" w:rsidR="005D24E7" w:rsidRPr="001A5C7C" w:rsidRDefault="005D24E7" w:rsidP="00ED472F">
            <w:pPr>
              <w:pStyle w:val="BodyText"/>
              <w:spacing w:after="0"/>
              <w:rPr>
                <w:sz w:val="20"/>
              </w:rPr>
            </w:pPr>
            <w:r w:rsidRPr="001A5C7C">
              <w:rPr>
                <w:sz w:val="20"/>
              </w:rPr>
              <w:t xml:space="preserve">Cumulative fiscal year-to-date distribution rate expressed as a percentage of </w:t>
            </w:r>
            <w:r>
              <w:rPr>
                <w:sz w:val="20"/>
              </w:rPr>
              <w:t>NAV as of April 30, 2024</w:t>
            </w:r>
          </w:p>
        </w:tc>
        <w:tc>
          <w:tcPr>
            <w:tcW w:w="236" w:type="dxa"/>
            <w:tcBorders>
              <w:top w:val="nil"/>
              <w:bottom w:val="nil"/>
            </w:tcBorders>
          </w:tcPr>
          <w:p w14:paraId="1A212F7A" w14:textId="77777777" w:rsidR="005D24E7" w:rsidRPr="001A5C7C" w:rsidRDefault="005D24E7" w:rsidP="00ED472F">
            <w:pPr>
              <w:pStyle w:val="BodyText"/>
              <w:spacing w:after="0"/>
              <w:rPr>
                <w:sz w:val="20"/>
              </w:rPr>
            </w:pPr>
          </w:p>
        </w:tc>
        <w:tc>
          <w:tcPr>
            <w:tcW w:w="1508" w:type="dxa"/>
            <w:tcBorders>
              <w:top w:val="nil"/>
              <w:bottom w:val="single" w:sz="4" w:space="0" w:color="auto"/>
              <w:right w:val="nil"/>
            </w:tcBorders>
            <w:vAlign w:val="bottom"/>
          </w:tcPr>
          <w:p w14:paraId="062715D8" w14:textId="77777777" w:rsidR="005D24E7" w:rsidRPr="001A5C7C" w:rsidRDefault="005D24E7" w:rsidP="00ED472F">
            <w:pPr>
              <w:pStyle w:val="BodyText"/>
              <w:spacing w:after="0"/>
              <w:jc w:val="center"/>
              <w:rPr>
                <w:sz w:val="20"/>
              </w:rPr>
            </w:pPr>
            <w:r>
              <w:rPr>
                <w:sz w:val="20"/>
              </w:rPr>
              <w:t>4.74</w:t>
            </w:r>
            <w:r w:rsidRPr="001A5C7C">
              <w:rPr>
                <w:sz w:val="20"/>
              </w:rPr>
              <w:t>%</w:t>
            </w:r>
          </w:p>
        </w:tc>
      </w:tr>
    </w:tbl>
    <w:p w14:paraId="047AA8C6" w14:textId="77777777" w:rsidR="005D24E7" w:rsidRDefault="005D24E7" w:rsidP="005D24E7">
      <w:pPr>
        <w:pStyle w:val="BodyText"/>
        <w:rPr>
          <w:sz w:val="20"/>
        </w:rPr>
      </w:pPr>
    </w:p>
    <w:p w14:paraId="70A958A4" w14:textId="77777777" w:rsidR="005D24E7" w:rsidRDefault="005D24E7" w:rsidP="005D24E7">
      <w:pPr>
        <w:pStyle w:val="BodyText"/>
        <w:rPr>
          <w:sz w:val="20"/>
        </w:rPr>
      </w:pPr>
      <w:r w:rsidRPr="00E20A1E">
        <w:rPr>
          <w:sz w:val="20"/>
        </w:rPr>
        <w:t>You should not draw any conclusions about the Fund’s investment performance from the amount of this distribution or from the terms of the Fund’s managed distribution plan.</w:t>
      </w:r>
      <w:r>
        <w:rPr>
          <w:sz w:val="20"/>
        </w:rPr>
        <w:t xml:space="preserve"> </w:t>
      </w:r>
    </w:p>
    <w:p w14:paraId="2BBA8BEF" w14:textId="77777777" w:rsidR="005D24E7" w:rsidRDefault="005D24E7" w:rsidP="005D24E7">
      <w:pPr>
        <w:pStyle w:val="BodyText"/>
        <w:rPr>
          <w:sz w:val="20"/>
        </w:rPr>
      </w:pPr>
      <w:r w:rsidRPr="00E20A1E">
        <w:rPr>
          <w:sz w:val="20"/>
        </w:rPr>
        <w:t xml:space="preserve">The Fund estimates that it has distributed more than its income and net realized capital gains; therefore, a portion of your distribution may be a return of capital.  A return of capital may occur, for example, when some or </w:t>
      </w:r>
      <w:proofErr w:type="gramStart"/>
      <w:r w:rsidRPr="00E20A1E">
        <w:rPr>
          <w:sz w:val="20"/>
        </w:rPr>
        <w:t>all of</w:t>
      </w:r>
      <w:proofErr w:type="gramEnd"/>
      <w:r w:rsidRPr="00E20A1E">
        <w:rPr>
          <w:sz w:val="20"/>
        </w:rPr>
        <w:t xml:space="preserve"> the money that you invested in the Fund is paid back to you.  A return of capital distribution does not necessarily reflect the Fund’s investment performance and should not be con</w:t>
      </w:r>
      <w:r>
        <w:rPr>
          <w:sz w:val="20"/>
        </w:rPr>
        <w:t>fused with “yield” or “income.”</w:t>
      </w:r>
    </w:p>
    <w:p w14:paraId="2E970925" w14:textId="77777777" w:rsidR="005D24E7" w:rsidRPr="00F2521D" w:rsidRDefault="005D24E7" w:rsidP="005D24E7">
      <w:pPr>
        <w:pStyle w:val="BodyText"/>
        <w:rPr>
          <w:sz w:val="20"/>
        </w:rPr>
      </w:pPr>
      <w:r w:rsidRPr="00E20A1E">
        <w:rPr>
          <w:sz w:val="20"/>
        </w:rPr>
        <w:t>The amounts and sources of distributions reported in this Notice are only estimates and are not being provided for tax reporting purposes.  The actual amounts and sources of the amounts for tax reporting purposes will depend upon the Fund’s investment experience during the remainder of its fiscal year and may be subject to changes based on tax</w:t>
      </w:r>
      <w:r>
        <w:rPr>
          <w:sz w:val="20"/>
        </w:rPr>
        <w:t xml:space="preserve"> </w:t>
      </w:r>
      <w:r w:rsidRPr="00E20A1E">
        <w:rPr>
          <w:sz w:val="20"/>
        </w:rPr>
        <w:t>regulations.  The Fund will send you a Form 1099-DIV for the calendar year that will tell you how to report these distributions for federal income tax purposes.</w:t>
      </w:r>
    </w:p>
    <w:p w14:paraId="7346A88E" w14:textId="77777777" w:rsidR="005D24E7" w:rsidRDefault="005D24E7" w:rsidP="005D24E7">
      <w:pPr>
        <w:pStyle w:val="BodyText"/>
        <w:rPr>
          <w:sz w:val="20"/>
        </w:rPr>
      </w:pPr>
      <w:r w:rsidRPr="0091051A">
        <w:rPr>
          <w:sz w:val="20"/>
        </w:rPr>
        <w:t xml:space="preserve">The Fund has declared </w:t>
      </w:r>
      <w:r>
        <w:rPr>
          <w:sz w:val="20"/>
        </w:rPr>
        <w:t>the May 2024</w:t>
      </w:r>
      <w:r w:rsidRPr="0091051A">
        <w:rPr>
          <w:sz w:val="20"/>
        </w:rPr>
        <w:t xml:space="preserve"> distribution pursuant to the Fund’s managed distribution plan (the “Plan”).  Under the Plan, the </w:t>
      </w:r>
      <w:r>
        <w:rPr>
          <w:sz w:val="20"/>
        </w:rPr>
        <w:t xml:space="preserve">Fund makes fixed monthly distributions in the amount of $0.0825 per share, </w:t>
      </w:r>
      <w:r w:rsidRPr="00540416">
        <w:rPr>
          <w:sz w:val="20"/>
        </w:rPr>
        <w:t xml:space="preserve">which will </w:t>
      </w:r>
      <w:r>
        <w:rPr>
          <w:sz w:val="20"/>
        </w:rPr>
        <w:t>continue to be paid monthly</w:t>
      </w:r>
      <w:r w:rsidRPr="00540416">
        <w:rPr>
          <w:sz w:val="20"/>
        </w:rPr>
        <w:t xml:space="preserve"> until further notice. </w:t>
      </w:r>
    </w:p>
    <w:p w14:paraId="78BD40CD" w14:textId="77777777" w:rsidR="005D24E7" w:rsidRDefault="005D24E7" w:rsidP="005D24E7">
      <w:pPr>
        <w:pStyle w:val="BodyText"/>
        <w:rPr>
          <w:bCs/>
          <w:color w:val="000000"/>
          <w:sz w:val="20"/>
        </w:rPr>
      </w:pPr>
      <w:r w:rsidRPr="00E20A1E">
        <w:rPr>
          <w:bCs/>
          <w:color w:val="000000"/>
          <w:sz w:val="20"/>
        </w:rPr>
        <w:t xml:space="preserve">If you have questions or need additional information, please contact your financial professional or call the John Hancock </w:t>
      </w:r>
      <w:r>
        <w:rPr>
          <w:bCs/>
          <w:color w:val="000000"/>
          <w:sz w:val="20"/>
        </w:rPr>
        <w:t xml:space="preserve">Investment Management </w:t>
      </w:r>
      <w:r w:rsidRPr="00E20A1E">
        <w:rPr>
          <w:bCs/>
          <w:color w:val="000000"/>
          <w:sz w:val="20"/>
        </w:rPr>
        <w:t>Closed-End Fund Information Line at 1-800-843-0090, Monday through Friday between 8:00 a.m. and 7:00 p.m., Eastern Time.</w:t>
      </w:r>
    </w:p>
    <w:p w14:paraId="0DCD1DDF" w14:textId="77777777" w:rsidR="00C8748F" w:rsidRPr="00EE58A7" w:rsidRDefault="00C8748F" w:rsidP="00A97891">
      <w:pPr>
        <w:autoSpaceDE w:val="0"/>
        <w:autoSpaceDN w:val="0"/>
        <w:adjustRightInd w:val="0"/>
        <w:rPr>
          <w:i/>
          <w:iCs/>
          <w:sz w:val="20"/>
          <w:szCs w:val="20"/>
        </w:rPr>
      </w:pPr>
      <w:r w:rsidRPr="00EE58A7">
        <w:rPr>
          <w:i/>
          <w:iCs/>
          <w:sz w:val="20"/>
          <w:szCs w:val="20"/>
        </w:rPr>
        <w:t>Statements in this press release that are not historical facts are forward-looking statements as defined by the United States securities laws. You should exercise caution in interpreting and relying on forward-looking statements because they are subject to uncertainties and other factors which are, in some cases, beyond the Fund’s control and could cause actual results to differ materially from those set forth in the forward-looking statements.</w:t>
      </w:r>
    </w:p>
    <w:p w14:paraId="10FFBD4B" w14:textId="77777777" w:rsidR="00C8748F" w:rsidRPr="00EE58A7" w:rsidRDefault="00C8748F" w:rsidP="00C8748F">
      <w:pPr>
        <w:autoSpaceDE w:val="0"/>
        <w:autoSpaceDN w:val="0"/>
        <w:adjustRightInd w:val="0"/>
        <w:rPr>
          <w:i/>
          <w:iCs/>
          <w:sz w:val="20"/>
          <w:szCs w:val="20"/>
        </w:rPr>
      </w:pPr>
    </w:p>
    <w:p w14:paraId="3E0DB273" w14:textId="77777777" w:rsidR="00C8748F" w:rsidRPr="00EE58A7" w:rsidRDefault="00C8748F" w:rsidP="00C8748F">
      <w:pPr>
        <w:autoSpaceDE w:val="0"/>
        <w:autoSpaceDN w:val="0"/>
        <w:adjustRightInd w:val="0"/>
        <w:rPr>
          <w:i/>
          <w:iCs/>
          <w:sz w:val="20"/>
          <w:szCs w:val="20"/>
        </w:rPr>
      </w:pPr>
      <w:r w:rsidRPr="00EE58A7">
        <w:rPr>
          <w:i/>
          <w:iCs/>
          <w:sz w:val="20"/>
          <w:szCs w:val="20"/>
        </w:rPr>
        <w:t>An investor should consider a Fund's investment objectives, risks, charges and expenses carefully before investing.</w:t>
      </w:r>
    </w:p>
    <w:p w14:paraId="2E83B534" w14:textId="77777777" w:rsidR="00C8748F" w:rsidRDefault="00C8748F" w:rsidP="00C8748F">
      <w:pPr>
        <w:autoSpaceDE w:val="0"/>
        <w:autoSpaceDN w:val="0"/>
        <w:adjustRightInd w:val="0"/>
        <w:rPr>
          <w:b/>
          <w:bCs/>
          <w:sz w:val="22"/>
          <w:szCs w:val="22"/>
        </w:rPr>
      </w:pPr>
    </w:p>
    <w:p w14:paraId="0DCB540D" w14:textId="77777777" w:rsidR="00FD7B29" w:rsidRPr="009A6131" w:rsidRDefault="00FD7B29" w:rsidP="00FD7B29">
      <w:pPr>
        <w:rPr>
          <w:b/>
          <w:bCs/>
          <w:sz w:val="22"/>
          <w:szCs w:val="22"/>
          <w:lang w:val="en-CA"/>
        </w:rPr>
      </w:pPr>
      <w:r w:rsidRPr="009A6131">
        <w:rPr>
          <w:b/>
          <w:bCs/>
          <w:sz w:val="22"/>
          <w:szCs w:val="22"/>
          <w:lang w:val="en-CA"/>
        </w:rPr>
        <w:t xml:space="preserve">About John Hancock Investment Management </w:t>
      </w:r>
    </w:p>
    <w:p w14:paraId="4C642720" w14:textId="77777777" w:rsidR="00FD7B29" w:rsidRPr="009A6131" w:rsidRDefault="00FD7B29" w:rsidP="00FD7B29">
      <w:pPr>
        <w:rPr>
          <w:sz w:val="22"/>
          <w:szCs w:val="22"/>
          <w:lang w:val="en-CA"/>
        </w:rPr>
      </w:pPr>
      <w:r w:rsidRPr="009A6131">
        <w:rPr>
          <w:sz w:val="22"/>
          <w:szCs w:val="22"/>
          <w:lang w:val="en-CA"/>
        </w:rPr>
        <w:t>A company of Manulife Investment Management, we serve investors through a unique multimanager approach, complementing our extensive in-house capabilities with an unrivaled network of specialized asset managers, backed by some of the most rigorous investment oversight in the industry. The result is a diverse lineup of time-tested investments from a premier asset manager with a heritage of financial stewardship.</w:t>
      </w:r>
    </w:p>
    <w:p w14:paraId="393DDD81" w14:textId="77777777" w:rsidR="00FD7B29" w:rsidRPr="009A6131" w:rsidRDefault="00FD7B29" w:rsidP="00FD7B29">
      <w:pPr>
        <w:pStyle w:val="Default"/>
        <w:rPr>
          <w:b/>
          <w:bCs/>
          <w:color w:val="auto"/>
          <w:sz w:val="22"/>
          <w:szCs w:val="22"/>
        </w:rPr>
      </w:pPr>
    </w:p>
    <w:p w14:paraId="15676067" w14:textId="77777777" w:rsidR="00FD7B29" w:rsidRPr="009A6131" w:rsidRDefault="00FD7B29" w:rsidP="00FD7B29">
      <w:pPr>
        <w:pStyle w:val="Default"/>
        <w:rPr>
          <w:b/>
          <w:bCs/>
          <w:color w:val="auto"/>
          <w:sz w:val="22"/>
          <w:szCs w:val="22"/>
        </w:rPr>
      </w:pPr>
    </w:p>
    <w:p w14:paraId="39EA0E49" w14:textId="77777777" w:rsidR="00FD7B29" w:rsidRPr="009A6131" w:rsidRDefault="00FD7B29" w:rsidP="00FD7B29">
      <w:pPr>
        <w:pStyle w:val="Default"/>
        <w:rPr>
          <w:b/>
          <w:bCs/>
          <w:color w:val="auto"/>
          <w:sz w:val="22"/>
          <w:szCs w:val="22"/>
        </w:rPr>
      </w:pPr>
      <w:r w:rsidRPr="009A6131">
        <w:rPr>
          <w:b/>
          <w:bCs/>
          <w:color w:val="auto"/>
          <w:sz w:val="22"/>
          <w:szCs w:val="22"/>
        </w:rPr>
        <w:t xml:space="preserve">About Manulife Investment Management </w:t>
      </w:r>
    </w:p>
    <w:p w14:paraId="6332C934" w14:textId="77777777" w:rsidR="0075106F" w:rsidRPr="00D94181" w:rsidRDefault="00FD7B29" w:rsidP="00FD7B29">
      <w:pPr>
        <w:autoSpaceDE w:val="0"/>
        <w:autoSpaceDN w:val="0"/>
        <w:adjustRightInd w:val="0"/>
        <w:rPr>
          <w:sz w:val="20"/>
          <w:szCs w:val="20"/>
        </w:rPr>
      </w:pPr>
      <w:r w:rsidRPr="009A6131">
        <w:rPr>
          <w:sz w:val="22"/>
          <w:szCs w:val="22"/>
        </w:rPr>
        <w:t xml:space="preserve">Manulife Investment Management is the global brand for the global wealth and asset management segment of Manulife Financial Corporation. We draw on more than a century of financial stewardship and the full resources of our parent company to serve individuals, institutions, and retirement plan members worldwide. Headquartered in Toronto, our leading capabilities in public and private markets are strengthened by an investment footprint that spans 18 geographies. We complement these capabilities by providing access to a network of unaffiliated asset managers from around the world. We’re committed to investing responsibly across our businesses. We develop innovative global frameworks for sustainable investing, collaboratively engage with companies in our securities portfolios, and maintain a high standard </w:t>
      </w:r>
      <w:r w:rsidRPr="009A6131">
        <w:rPr>
          <w:sz w:val="22"/>
          <w:szCs w:val="22"/>
        </w:rPr>
        <w:lastRenderedPageBreak/>
        <w:t>of stewardship where we own and operate assets, and we believe in supporting financial well-being through our workplace retirement plans. Today, plan sponsors around the world rely on our retirement plan administration and investment expertise to help their employees plan for, save for, and live a better retirement. Not all offerings are available in all jurisdictions. For additional information, please visit manulife.com.</w:t>
      </w:r>
    </w:p>
    <w:sectPr w:rsidR="0075106F" w:rsidRPr="00D94181" w:rsidSect="00A15C5E">
      <w:pgSz w:w="12240" w:h="15840"/>
      <w:pgMar w:top="864" w:right="1080" w:bottom="806"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C195" w14:textId="77777777" w:rsidR="0085289B" w:rsidRDefault="0085289B">
      <w:r>
        <w:separator/>
      </w:r>
    </w:p>
  </w:endnote>
  <w:endnote w:type="continuationSeparator" w:id="0">
    <w:p w14:paraId="687888A5" w14:textId="77777777" w:rsidR="0085289B" w:rsidRDefault="0085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D0E4" w14:textId="77777777" w:rsidR="0085289B" w:rsidRDefault="0085289B">
      <w:r>
        <w:separator/>
      </w:r>
    </w:p>
  </w:footnote>
  <w:footnote w:type="continuationSeparator" w:id="0">
    <w:p w14:paraId="6E7E88C9" w14:textId="77777777" w:rsidR="0085289B" w:rsidRDefault="0085289B">
      <w:r>
        <w:continuationSeparator/>
      </w:r>
    </w:p>
  </w:footnote>
  <w:footnote w:id="1">
    <w:p w14:paraId="0F6BE400" w14:textId="77777777" w:rsidR="005D24E7" w:rsidRDefault="005D24E7" w:rsidP="005D24E7">
      <w:pPr>
        <w:pStyle w:val="FootnoteText"/>
        <w:spacing w:after="0"/>
        <w:jc w:val="both"/>
        <w:rPr>
          <w:sz w:val="20"/>
        </w:rPr>
      </w:pPr>
      <w:r>
        <w:rPr>
          <w:rStyle w:val="FootnoteReference"/>
          <w:sz w:val="20"/>
        </w:rPr>
        <w:footnoteRef/>
      </w:r>
      <w:r>
        <w:rPr>
          <w:sz w:val="20"/>
        </w:rPr>
        <w:t xml:space="preserve">  The Fund’s current fiscal year began on November 1, </w:t>
      </w:r>
      <w:proofErr w:type="gramStart"/>
      <w:r>
        <w:rPr>
          <w:sz w:val="20"/>
        </w:rPr>
        <w:t>2023</w:t>
      </w:r>
      <w:proofErr w:type="gramEnd"/>
      <w:r>
        <w:rPr>
          <w:sz w:val="20"/>
        </w:rPr>
        <w:t xml:space="preserve"> and will end on October 31,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F45"/>
    <w:multiLevelType w:val="multilevel"/>
    <w:tmpl w:val="F620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05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5289B"/>
    <w:rsid w:val="0000591F"/>
    <w:rsid w:val="00006F3D"/>
    <w:rsid w:val="000156AD"/>
    <w:rsid w:val="00031091"/>
    <w:rsid w:val="00035F8A"/>
    <w:rsid w:val="0003666F"/>
    <w:rsid w:val="0004027D"/>
    <w:rsid w:val="00044530"/>
    <w:rsid w:val="00046534"/>
    <w:rsid w:val="00051AE0"/>
    <w:rsid w:val="00053339"/>
    <w:rsid w:val="00060865"/>
    <w:rsid w:val="000625F7"/>
    <w:rsid w:val="0006361A"/>
    <w:rsid w:val="00065729"/>
    <w:rsid w:val="00072902"/>
    <w:rsid w:val="000741E3"/>
    <w:rsid w:val="000763A3"/>
    <w:rsid w:val="00080219"/>
    <w:rsid w:val="00081A54"/>
    <w:rsid w:val="00081E49"/>
    <w:rsid w:val="00082C0A"/>
    <w:rsid w:val="0008378C"/>
    <w:rsid w:val="00090017"/>
    <w:rsid w:val="0009111E"/>
    <w:rsid w:val="0009469D"/>
    <w:rsid w:val="000A1C5A"/>
    <w:rsid w:val="000A274B"/>
    <w:rsid w:val="000A2BC4"/>
    <w:rsid w:val="000A3BB1"/>
    <w:rsid w:val="000A3E59"/>
    <w:rsid w:val="000A5A7F"/>
    <w:rsid w:val="000C2FBC"/>
    <w:rsid w:val="000D2177"/>
    <w:rsid w:val="000D2E88"/>
    <w:rsid w:val="000D596B"/>
    <w:rsid w:val="000D7A32"/>
    <w:rsid w:val="000E1290"/>
    <w:rsid w:val="000E59B5"/>
    <w:rsid w:val="000F3088"/>
    <w:rsid w:val="000F7ECA"/>
    <w:rsid w:val="001119BF"/>
    <w:rsid w:val="00121BA1"/>
    <w:rsid w:val="0012363E"/>
    <w:rsid w:val="00124636"/>
    <w:rsid w:val="00124C4F"/>
    <w:rsid w:val="00126AA1"/>
    <w:rsid w:val="00130943"/>
    <w:rsid w:val="0013740E"/>
    <w:rsid w:val="00141035"/>
    <w:rsid w:val="00141863"/>
    <w:rsid w:val="00151B6F"/>
    <w:rsid w:val="0015300D"/>
    <w:rsid w:val="00153EA5"/>
    <w:rsid w:val="00155026"/>
    <w:rsid w:val="0016058C"/>
    <w:rsid w:val="00161E33"/>
    <w:rsid w:val="00164CE9"/>
    <w:rsid w:val="00165A57"/>
    <w:rsid w:val="0016630A"/>
    <w:rsid w:val="00172049"/>
    <w:rsid w:val="0017316C"/>
    <w:rsid w:val="00174811"/>
    <w:rsid w:val="001849F7"/>
    <w:rsid w:val="00184B81"/>
    <w:rsid w:val="00185720"/>
    <w:rsid w:val="00192A2A"/>
    <w:rsid w:val="001951B2"/>
    <w:rsid w:val="0019659E"/>
    <w:rsid w:val="00197251"/>
    <w:rsid w:val="00197C2A"/>
    <w:rsid w:val="001B0746"/>
    <w:rsid w:val="001B5152"/>
    <w:rsid w:val="001C209A"/>
    <w:rsid w:val="001C2BC1"/>
    <w:rsid w:val="001C46F3"/>
    <w:rsid w:val="001C5B96"/>
    <w:rsid w:val="001D2E7F"/>
    <w:rsid w:val="001D3503"/>
    <w:rsid w:val="001D59D9"/>
    <w:rsid w:val="001D7DBD"/>
    <w:rsid w:val="001E32A6"/>
    <w:rsid w:val="001E3363"/>
    <w:rsid w:val="001E4400"/>
    <w:rsid w:val="001F2F17"/>
    <w:rsid w:val="001F4FE3"/>
    <w:rsid w:val="001F69D8"/>
    <w:rsid w:val="00200118"/>
    <w:rsid w:val="0020111B"/>
    <w:rsid w:val="0020231A"/>
    <w:rsid w:val="00203135"/>
    <w:rsid w:val="002037FE"/>
    <w:rsid w:val="00206227"/>
    <w:rsid w:val="002078CB"/>
    <w:rsid w:val="00215174"/>
    <w:rsid w:val="0021614E"/>
    <w:rsid w:val="002176F4"/>
    <w:rsid w:val="00224C0D"/>
    <w:rsid w:val="002349A3"/>
    <w:rsid w:val="00243FB2"/>
    <w:rsid w:val="002456F2"/>
    <w:rsid w:val="00252D4F"/>
    <w:rsid w:val="00254AF0"/>
    <w:rsid w:val="00255C06"/>
    <w:rsid w:val="002576BF"/>
    <w:rsid w:val="0026297A"/>
    <w:rsid w:val="002671F0"/>
    <w:rsid w:val="00267549"/>
    <w:rsid w:val="00267C9D"/>
    <w:rsid w:val="002700E2"/>
    <w:rsid w:val="0027329A"/>
    <w:rsid w:val="00273A74"/>
    <w:rsid w:val="00280DD6"/>
    <w:rsid w:val="0028185F"/>
    <w:rsid w:val="00282383"/>
    <w:rsid w:val="002862E0"/>
    <w:rsid w:val="002915F4"/>
    <w:rsid w:val="002929E0"/>
    <w:rsid w:val="002950DF"/>
    <w:rsid w:val="0029736E"/>
    <w:rsid w:val="00297F04"/>
    <w:rsid w:val="002A61A3"/>
    <w:rsid w:val="002A6772"/>
    <w:rsid w:val="002B00AB"/>
    <w:rsid w:val="002B3A03"/>
    <w:rsid w:val="002B5760"/>
    <w:rsid w:val="002C0C32"/>
    <w:rsid w:val="002C24F7"/>
    <w:rsid w:val="002C4689"/>
    <w:rsid w:val="002C4A35"/>
    <w:rsid w:val="002C5FA6"/>
    <w:rsid w:val="002C7085"/>
    <w:rsid w:val="002D0905"/>
    <w:rsid w:val="002D18E5"/>
    <w:rsid w:val="002D2E45"/>
    <w:rsid w:val="002D419D"/>
    <w:rsid w:val="002E1CF3"/>
    <w:rsid w:val="002E7A16"/>
    <w:rsid w:val="002E7B75"/>
    <w:rsid w:val="0030160C"/>
    <w:rsid w:val="00304777"/>
    <w:rsid w:val="003057D9"/>
    <w:rsid w:val="003105A9"/>
    <w:rsid w:val="00312B6E"/>
    <w:rsid w:val="00314FDC"/>
    <w:rsid w:val="00324CD9"/>
    <w:rsid w:val="0032525D"/>
    <w:rsid w:val="00327216"/>
    <w:rsid w:val="00327BF6"/>
    <w:rsid w:val="003304F6"/>
    <w:rsid w:val="00335D80"/>
    <w:rsid w:val="0033696E"/>
    <w:rsid w:val="0034656A"/>
    <w:rsid w:val="00350574"/>
    <w:rsid w:val="003506FF"/>
    <w:rsid w:val="00354C81"/>
    <w:rsid w:val="00356573"/>
    <w:rsid w:val="00357731"/>
    <w:rsid w:val="003614AF"/>
    <w:rsid w:val="00367451"/>
    <w:rsid w:val="003716D4"/>
    <w:rsid w:val="003727BB"/>
    <w:rsid w:val="00374066"/>
    <w:rsid w:val="00377583"/>
    <w:rsid w:val="003875C9"/>
    <w:rsid w:val="0039106A"/>
    <w:rsid w:val="00392E2A"/>
    <w:rsid w:val="00395E6E"/>
    <w:rsid w:val="003A1682"/>
    <w:rsid w:val="003A16E2"/>
    <w:rsid w:val="003A4A8C"/>
    <w:rsid w:val="003A67E7"/>
    <w:rsid w:val="003A6DB2"/>
    <w:rsid w:val="003A71F4"/>
    <w:rsid w:val="003A7BD0"/>
    <w:rsid w:val="003B2417"/>
    <w:rsid w:val="003B2BD9"/>
    <w:rsid w:val="003B69BD"/>
    <w:rsid w:val="003C7A66"/>
    <w:rsid w:val="003D0628"/>
    <w:rsid w:val="003D0DB9"/>
    <w:rsid w:val="003D1E78"/>
    <w:rsid w:val="003D3A3A"/>
    <w:rsid w:val="003D5A86"/>
    <w:rsid w:val="003D5BE3"/>
    <w:rsid w:val="003E15C3"/>
    <w:rsid w:val="003E276D"/>
    <w:rsid w:val="003E5776"/>
    <w:rsid w:val="003F0D51"/>
    <w:rsid w:val="003F1DFA"/>
    <w:rsid w:val="003F3708"/>
    <w:rsid w:val="003F796D"/>
    <w:rsid w:val="00401840"/>
    <w:rsid w:val="00412163"/>
    <w:rsid w:val="00412D44"/>
    <w:rsid w:val="00415921"/>
    <w:rsid w:val="00416EFB"/>
    <w:rsid w:val="004176E0"/>
    <w:rsid w:val="00426BC2"/>
    <w:rsid w:val="004363BF"/>
    <w:rsid w:val="004423BD"/>
    <w:rsid w:val="00443813"/>
    <w:rsid w:val="00443A1C"/>
    <w:rsid w:val="00447ECA"/>
    <w:rsid w:val="004519AA"/>
    <w:rsid w:val="00453841"/>
    <w:rsid w:val="0045434D"/>
    <w:rsid w:val="0045634D"/>
    <w:rsid w:val="0046293F"/>
    <w:rsid w:val="00465305"/>
    <w:rsid w:val="00471DB6"/>
    <w:rsid w:val="00473D48"/>
    <w:rsid w:val="00477597"/>
    <w:rsid w:val="00477C92"/>
    <w:rsid w:val="0048182A"/>
    <w:rsid w:val="004829B4"/>
    <w:rsid w:val="00482D34"/>
    <w:rsid w:val="00490C8A"/>
    <w:rsid w:val="004916A5"/>
    <w:rsid w:val="00492144"/>
    <w:rsid w:val="004924C3"/>
    <w:rsid w:val="00496961"/>
    <w:rsid w:val="0049725F"/>
    <w:rsid w:val="004A11D7"/>
    <w:rsid w:val="004A12FB"/>
    <w:rsid w:val="004A3026"/>
    <w:rsid w:val="004A4502"/>
    <w:rsid w:val="004A68AA"/>
    <w:rsid w:val="004B1FD9"/>
    <w:rsid w:val="004B7584"/>
    <w:rsid w:val="004C2F76"/>
    <w:rsid w:val="004C4BD3"/>
    <w:rsid w:val="004C6818"/>
    <w:rsid w:val="004D1027"/>
    <w:rsid w:val="004D5061"/>
    <w:rsid w:val="004D5B8E"/>
    <w:rsid w:val="004D7A8C"/>
    <w:rsid w:val="004E2810"/>
    <w:rsid w:val="004E7C6B"/>
    <w:rsid w:val="004E7E4F"/>
    <w:rsid w:val="004F04BE"/>
    <w:rsid w:val="004F53A2"/>
    <w:rsid w:val="004F6F3C"/>
    <w:rsid w:val="00501F45"/>
    <w:rsid w:val="00505085"/>
    <w:rsid w:val="00507303"/>
    <w:rsid w:val="0051758F"/>
    <w:rsid w:val="00523062"/>
    <w:rsid w:val="00523E56"/>
    <w:rsid w:val="00526527"/>
    <w:rsid w:val="005277CF"/>
    <w:rsid w:val="00532B2A"/>
    <w:rsid w:val="00533C31"/>
    <w:rsid w:val="00537834"/>
    <w:rsid w:val="005423A3"/>
    <w:rsid w:val="0054286C"/>
    <w:rsid w:val="005451FF"/>
    <w:rsid w:val="00546957"/>
    <w:rsid w:val="00551787"/>
    <w:rsid w:val="0055243A"/>
    <w:rsid w:val="00552CD5"/>
    <w:rsid w:val="00563031"/>
    <w:rsid w:val="00563285"/>
    <w:rsid w:val="00566360"/>
    <w:rsid w:val="005663A4"/>
    <w:rsid w:val="005726CB"/>
    <w:rsid w:val="005747AB"/>
    <w:rsid w:val="00576361"/>
    <w:rsid w:val="0057651C"/>
    <w:rsid w:val="005800D3"/>
    <w:rsid w:val="00583C9F"/>
    <w:rsid w:val="00585651"/>
    <w:rsid w:val="005A1CE0"/>
    <w:rsid w:val="005A3C31"/>
    <w:rsid w:val="005A6976"/>
    <w:rsid w:val="005A6B9C"/>
    <w:rsid w:val="005B1944"/>
    <w:rsid w:val="005B1B2F"/>
    <w:rsid w:val="005B4BA8"/>
    <w:rsid w:val="005C0F85"/>
    <w:rsid w:val="005C4FEE"/>
    <w:rsid w:val="005D24E7"/>
    <w:rsid w:val="005D3DD3"/>
    <w:rsid w:val="005E79B3"/>
    <w:rsid w:val="005F0BDD"/>
    <w:rsid w:val="005F67E3"/>
    <w:rsid w:val="00601961"/>
    <w:rsid w:val="00603FD5"/>
    <w:rsid w:val="00604E52"/>
    <w:rsid w:val="0060677B"/>
    <w:rsid w:val="00606DD4"/>
    <w:rsid w:val="00607D0D"/>
    <w:rsid w:val="00615BBB"/>
    <w:rsid w:val="00621217"/>
    <w:rsid w:val="00623D4A"/>
    <w:rsid w:val="006347AA"/>
    <w:rsid w:val="006353A1"/>
    <w:rsid w:val="006449B7"/>
    <w:rsid w:val="00644A32"/>
    <w:rsid w:val="006456B7"/>
    <w:rsid w:val="006505E0"/>
    <w:rsid w:val="00670A8E"/>
    <w:rsid w:val="00671619"/>
    <w:rsid w:val="0067180A"/>
    <w:rsid w:val="00671A17"/>
    <w:rsid w:val="00673368"/>
    <w:rsid w:val="006802EC"/>
    <w:rsid w:val="00681C93"/>
    <w:rsid w:val="00682DCC"/>
    <w:rsid w:val="0068333D"/>
    <w:rsid w:val="006850F0"/>
    <w:rsid w:val="00685A6F"/>
    <w:rsid w:val="0068782F"/>
    <w:rsid w:val="00692CD6"/>
    <w:rsid w:val="0069318C"/>
    <w:rsid w:val="00694352"/>
    <w:rsid w:val="006966C5"/>
    <w:rsid w:val="006A0BF5"/>
    <w:rsid w:val="006A2B4B"/>
    <w:rsid w:val="006A57C6"/>
    <w:rsid w:val="006A6FBF"/>
    <w:rsid w:val="006B4C8B"/>
    <w:rsid w:val="006B4E41"/>
    <w:rsid w:val="006B586E"/>
    <w:rsid w:val="006B609F"/>
    <w:rsid w:val="006B73E6"/>
    <w:rsid w:val="006C09F2"/>
    <w:rsid w:val="006C160F"/>
    <w:rsid w:val="006C310E"/>
    <w:rsid w:val="006C39FC"/>
    <w:rsid w:val="006C712A"/>
    <w:rsid w:val="006C7809"/>
    <w:rsid w:val="006D0E10"/>
    <w:rsid w:val="006D62D2"/>
    <w:rsid w:val="006E694E"/>
    <w:rsid w:val="006F3421"/>
    <w:rsid w:val="007018CB"/>
    <w:rsid w:val="00710E78"/>
    <w:rsid w:val="00711098"/>
    <w:rsid w:val="00724063"/>
    <w:rsid w:val="00724C58"/>
    <w:rsid w:val="00725276"/>
    <w:rsid w:val="007307DB"/>
    <w:rsid w:val="00732162"/>
    <w:rsid w:val="00734E19"/>
    <w:rsid w:val="00741121"/>
    <w:rsid w:val="0074590F"/>
    <w:rsid w:val="00746AB2"/>
    <w:rsid w:val="0075106F"/>
    <w:rsid w:val="0076083E"/>
    <w:rsid w:val="00761487"/>
    <w:rsid w:val="00761AA9"/>
    <w:rsid w:val="00762F7A"/>
    <w:rsid w:val="007652D6"/>
    <w:rsid w:val="007715A6"/>
    <w:rsid w:val="00771D29"/>
    <w:rsid w:val="00772BF2"/>
    <w:rsid w:val="00775978"/>
    <w:rsid w:val="00777FD1"/>
    <w:rsid w:val="007819A3"/>
    <w:rsid w:val="00791742"/>
    <w:rsid w:val="00791E87"/>
    <w:rsid w:val="007949B0"/>
    <w:rsid w:val="0079587F"/>
    <w:rsid w:val="00797BAF"/>
    <w:rsid w:val="007A6BF0"/>
    <w:rsid w:val="007A7E23"/>
    <w:rsid w:val="007B1796"/>
    <w:rsid w:val="007B3249"/>
    <w:rsid w:val="007B572A"/>
    <w:rsid w:val="007B63EB"/>
    <w:rsid w:val="007B64E1"/>
    <w:rsid w:val="007C6730"/>
    <w:rsid w:val="007C713D"/>
    <w:rsid w:val="007D02AE"/>
    <w:rsid w:val="007D12BC"/>
    <w:rsid w:val="007D38F1"/>
    <w:rsid w:val="007D4F42"/>
    <w:rsid w:val="007D78AD"/>
    <w:rsid w:val="007D78B0"/>
    <w:rsid w:val="007E029E"/>
    <w:rsid w:val="007E616F"/>
    <w:rsid w:val="007F04DE"/>
    <w:rsid w:val="007F1744"/>
    <w:rsid w:val="007F3949"/>
    <w:rsid w:val="007F528D"/>
    <w:rsid w:val="007F6999"/>
    <w:rsid w:val="007F7D5D"/>
    <w:rsid w:val="00801429"/>
    <w:rsid w:val="008019CF"/>
    <w:rsid w:val="00813634"/>
    <w:rsid w:val="00822CE6"/>
    <w:rsid w:val="00827DA7"/>
    <w:rsid w:val="00830020"/>
    <w:rsid w:val="0083335B"/>
    <w:rsid w:val="008404C0"/>
    <w:rsid w:val="008410BD"/>
    <w:rsid w:val="00844C8F"/>
    <w:rsid w:val="008456D9"/>
    <w:rsid w:val="0085289B"/>
    <w:rsid w:val="008532DC"/>
    <w:rsid w:val="00854BC3"/>
    <w:rsid w:val="00855D96"/>
    <w:rsid w:val="00855FBB"/>
    <w:rsid w:val="00856B84"/>
    <w:rsid w:val="00857D43"/>
    <w:rsid w:val="008611AC"/>
    <w:rsid w:val="008611FD"/>
    <w:rsid w:val="008619AF"/>
    <w:rsid w:val="00873FB2"/>
    <w:rsid w:val="00876BE6"/>
    <w:rsid w:val="00880075"/>
    <w:rsid w:val="0088354E"/>
    <w:rsid w:val="00884422"/>
    <w:rsid w:val="00886DF0"/>
    <w:rsid w:val="0089265D"/>
    <w:rsid w:val="0089367F"/>
    <w:rsid w:val="00896C5E"/>
    <w:rsid w:val="008A123F"/>
    <w:rsid w:val="008A174E"/>
    <w:rsid w:val="008A3151"/>
    <w:rsid w:val="008A62B0"/>
    <w:rsid w:val="008B30FF"/>
    <w:rsid w:val="008B6F26"/>
    <w:rsid w:val="008C2030"/>
    <w:rsid w:val="008C7381"/>
    <w:rsid w:val="008D2613"/>
    <w:rsid w:val="008E02B1"/>
    <w:rsid w:val="008E2FC5"/>
    <w:rsid w:val="008E3305"/>
    <w:rsid w:val="008E4AB9"/>
    <w:rsid w:val="008F5715"/>
    <w:rsid w:val="00902E4E"/>
    <w:rsid w:val="0091163B"/>
    <w:rsid w:val="00911E5D"/>
    <w:rsid w:val="00915322"/>
    <w:rsid w:val="00916F6E"/>
    <w:rsid w:val="00924C01"/>
    <w:rsid w:val="00926B3B"/>
    <w:rsid w:val="0092748E"/>
    <w:rsid w:val="00927B87"/>
    <w:rsid w:val="00932113"/>
    <w:rsid w:val="00934EB5"/>
    <w:rsid w:val="00936918"/>
    <w:rsid w:val="00937E73"/>
    <w:rsid w:val="009409E8"/>
    <w:rsid w:val="009439EE"/>
    <w:rsid w:val="009443D6"/>
    <w:rsid w:val="00946D52"/>
    <w:rsid w:val="00947E81"/>
    <w:rsid w:val="00960DE2"/>
    <w:rsid w:val="00960F7E"/>
    <w:rsid w:val="009641D7"/>
    <w:rsid w:val="009658B3"/>
    <w:rsid w:val="009668C9"/>
    <w:rsid w:val="00966DA4"/>
    <w:rsid w:val="00970A51"/>
    <w:rsid w:val="009717D3"/>
    <w:rsid w:val="00972814"/>
    <w:rsid w:val="0098033A"/>
    <w:rsid w:val="00990CA3"/>
    <w:rsid w:val="0099492F"/>
    <w:rsid w:val="00995DFF"/>
    <w:rsid w:val="0099772E"/>
    <w:rsid w:val="009A0B9E"/>
    <w:rsid w:val="009A0DB4"/>
    <w:rsid w:val="009A12ED"/>
    <w:rsid w:val="009A3AD5"/>
    <w:rsid w:val="009A5140"/>
    <w:rsid w:val="009A5841"/>
    <w:rsid w:val="009B0305"/>
    <w:rsid w:val="009B2AA3"/>
    <w:rsid w:val="009B4F3C"/>
    <w:rsid w:val="009C0CB8"/>
    <w:rsid w:val="009C37DC"/>
    <w:rsid w:val="009C3DF0"/>
    <w:rsid w:val="009D1468"/>
    <w:rsid w:val="009D3CC6"/>
    <w:rsid w:val="009D4A90"/>
    <w:rsid w:val="009D534B"/>
    <w:rsid w:val="009E1ED6"/>
    <w:rsid w:val="009E21A0"/>
    <w:rsid w:val="009E4A5A"/>
    <w:rsid w:val="009E64AA"/>
    <w:rsid w:val="009E7CCE"/>
    <w:rsid w:val="009F1977"/>
    <w:rsid w:val="009F269A"/>
    <w:rsid w:val="009F3E8D"/>
    <w:rsid w:val="009F53B9"/>
    <w:rsid w:val="009F685B"/>
    <w:rsid w:val="009F7126"/>
    <w:rsid w:val="00A0542E"/>
    <w:rsid w:val="00A060FF"/>
    <w:rsid w:val="00A065AB"/>
    <w:rsid w:val="00A06FC6"/>
    <w:rsid w:val="00A1169A"/>
    <w:rsid w:val="00A15C5E"/>
    <w:rsid w:val="00A15CC1"/>
    <w:rsid w:val="00A16FCD"/>
    <w:rsid w:val="00A2236E"/>
    <w:rsid w:val="00A24002"/>
    <w:rsid w:val="00A26230"/>
    <w:rsid w:val="00A2759B"/>
    <w:rsid w:val="00A277AE"/>
    <w:rsid w:val="00A30FA4"/>
    <w:rsid w:val="00A32EAD"/>
    <w:rsid w:val="00A3365A"/>
    <w:rsid w:val="00A3436B"/>
    <w:rsid w:val="00A34492"/>
    <w:rsid w:val="00A366C0"/>
    <w:rsid w:val="00A378A0"/>
    <w:rsid w:val="00A41539"/>
    <w:rsid w:val="00A50225"/>
    <w:rsid w:val="00A50375"/>
    <w:rsid w:val="00A53746"/>
    <w:rsid w:val="00A61CFC"/>
    <w:rsid w:val="00A6379D"/>
    <w:rsid w:val="00A65ABD"/>
    <w:rsid w:val="00A67726"/>
    <w:rsid w:val="00A70BA9"/>
    <w:rsid w:val="00A7128D"/>
    <w:rsid w:val="00A71739"/>
    <w:rsid w:val="00A7635D"/>
    <w:rsid w:val="00A80D28"/>
    <w:rsid w:val="00A81C3B"/>
    <w:rsid w:val="00A858B5"/>
    <w:rsid w:val="00A964BB"/>
    <w:rsid w:val="00A9673C"/>
    <w:rsid w:val="00A97891"/>
    <w:rsid w:val="00AA6F35"/>
    <w:rsid w:val="00AB085B"/>
    <w:rsid w:val="00AB09BA"/>
    <w:rsid w:val="00AB1919"/>
    <w:rsid w:val="00AB1D2F"/>
    <w:rsid w:val="00AC314B"/>
    <w:rsid w:val="00AC5B2F"/>
    <w:rsid w:val="00AC6DC8"/>
    <w:rsid w:val="00AC7272"/>
    <w:rsid w:val="00AC7337"/>
    <w:rsid w:val="00AE20D5"/>
    <w:rsid w:val="00AE2CAD"/>
    <w:rsid w:val="00AE320C"/>
    <w:rsid w:val="00AE3829"/>
    <w:rsid w:val="00AE4F0F"/>
    <w:rsid w:val="00AE52E1"/>
    <w:rsid w:val="00AE5347"/>
    <w:rsid w:val="00AE7DAA"/>
    <w:rsid w:val="00AF1B3D"/>
    <w:rsid w:val="00AF49EA"/>
    <w:rsid w:val="00AF58F2"/>
    <w:rsid w:val="00AF6D5F"/>
    <w:rsid w:val="00B04E13"/>
    <w:rsid w:val="00B07C2D"/>
    <w:rsid w:val="00B10C99"/>
    <w:rsid w:val="00B128F4"/>
    <w:rsid w:val="00B2397A"/>
    <w:rsid w:val="00B24909"/>
    <w:rsid w:val="00B251DF"/>
    <w:rsid w:val="00B25986"/>
    <w:rsid w:val="00B26008"/>
    <w:rsid w:val="00B3075D"/>
    <w:rsid w:val="00B309D2"/>
    <w:rsid w:val="00B328CC"/>
    <w:rsid w:val="00B374FF"/>
    <w:rsid w:val="00B4339E"/>
    <w:rsid w:val="00B50365"/>
    <w:rsid w:val="00B51805"/>
    <w:rsid w:val="00B52F91"/>
    <w:rsid w:val="00B54BF5"/>
    <w:rsid w:val="00B564D5"/>
    <w:rsid w:val="00B631E0"/>
    <w:rsid w:val="00B644B8"/>
    <w:rsid w:val="00B662AC"/>
    <w:rsid w:val="00B67C80"/>
    <w:rsid w:val="00B7100B"/>
    <w:rsid w:val="00B72FAA"/>
    <w:rsid w:val="00B775B1"/>
    <w:rsid w:val="00B80037"/>
    <w:rsid w:val="00B8159D"/>
    <w:rsid w:val="00B83D26"/>
    <w:rsid w:val="00B84B57"/>
    <w:rsid w:val="00B86E25"/>
    <w:rsid w:val="00B87A8A"/>
    <w:rsid w:val="00B910C3"/>
    <w:rsid w:val="00B924BC"/>
    <w:rsid w:val="00BA21CB"/>
    <w:rsid w:val="00BA2D56"/>
    <w:rsid w:val="00BA3052"/>
    <w:rsid w:val="00BA3E70"/>
    <w:rsid w:val="00BA4061"/>
    <w:rsid w:val="00BA6093"/>
    <w:rsid w:val="00BB3C54"/>
    <w:rsid w:val="00BC10AE"/>
    <w:rsid w:val="00BC7335"/>
    <w:rsid w:val="00BD45B4"/>
    <w:rsid w:val="00BD659A"/>
    <w:rsid w:val="00BD775C"/>
    <w:rsid w:val="00BE1C34"/>
    <w:rsid w:val="00BE4205"/>
    <w:rsid w:val="00BE4DC2"/>
    <w:rsid w:val="00BE667D"/>
    <w:rsid w:val="00BE66FC"/>
    <w:rsid w:val="00BE77BA"/>
    <w:rsid w:val="00BF078A"/>
    <w:rsid w:val="00BF1ECC"/>
    <w:rsid w:val="00BF3A9A"/>
    <w:rsid w:val="00BF49C8"/>
    <w:rsid w:val="00BF5BC2"/>
    <w:rsid w:val="00BF625B"/>
    <w:rsid w:val="00BF66CB"/>
    <w:rsid w:val="00BF790D"/>
    <w:rsid w:val="00C00368"/>
    <w:rsid w:val="00C00542"/>
    <w:rsid w:val="00C008CD"/>
    <w:rsid w:val="00C01CE7"/>
    <w:rsid w:val="00C05BC6"/>
    <w:rsid w:val="00C07DFB"/>
    <w:rsid w:val="00C07E16"/>
    <w:rsid w:val="00C124C9"/>
    <w:rsid w:val="00C15F83"/>
    <w:rsid w:val="00C1721E"/>
    <w:rsid w:val="00C2025A"/>
    <w:rsid w:val="00C242DD"/>
    <w:rsid w:val="00C26773"/>
    <w:rsid w:val="00C32D07"/>
    <w:rsid w:val="00C3464D"/>
    <w:rsid w:val="00C36EEE"/>
    <w:rsid w:val="00C45B5D"/>
    <w:rsid w:val="00C45D3E"/>
    <w:rsid w:val="00C5022E"/>
    <w:rsid w:val="00C50D75"/>
    <w:rsid w:val="00C5374E"/>
    <w:rsid w:val="00C54B0E"/>
    <w:rsid w:val="00C54BC9"/>
    <w:rsid w:val="00C60127"/>
    <w:rsid w:val="00C62D21"/>
    <w:rsid w:val="00C6327A"/>
    <w:rsid w:val="00C6476E"/>
    <w:rsid w:val="00C75C84"/>
    <w:rsid w:val="00C76DFA"/>
    <w:rsid w:val="00C856D2"/>
    <w:rsid w:val="00C85E25"/>
    <w:rsid w:val="00C86C12"/>
    <w:rsid w:val="00C8748F"/>
    <w:rsid w:val="00C875DD"/>
    <w:rsid w:val="00C91141"/>
    <w:rsid w:val="00C95CB5"/>
    <w:rsid w:val="00CA3E98"/>
    <w:rsid w:val="00CA66E7"/>
    <w:rsid w:val="00CB087B"/>
    <w:rsid w:val="00CB606E"/>
    <w:rsid w:val="00CB6B97"/>
    <w:rsid w:val="00CC0F95"/>
    <w:rsid w:val="00CC2E0A"/>
    <w:rsid w:val="00CC75E8"/>
    <w:rsid w:val="00CC7B69"/>
    <w:rsid w:val="00CD1663"/>
    <w:rsid w:val="00CE1044"/>
    <w:rsid w:val="00CE1EFB"/>
    <w:rsid w:val="00CE2297"/>
    <w:rsid w:val="00CF4A82"/>
    <w:rsid w:val="00D0007A"/>
    <w:rsid w:val="00D01435"/>
    <w:rsid w:val="00D024A7"/>
    <w:rsid w:val="00D0272A"/>
    <w:rsid w:val="00D03506"/>
    <w:rsid w:val="00D04DA8"/>
    <w:rsid w:val="00D10AAE"/>
    <w:rsid w:val="00D111EC"/>
    <w:rsid w:val="00D158B2"/>
    <w:rsid w:val="00D22350"/>
    <w:rsid w:val="00D25EC7"/>
    <w:rsid w:val="00D274ED"/>
    <w:rsid w:val="00D27C92"/>
    <w:rsid w:val="00D27F7F"/>
    <w:rsid w:val="00D31DAC"/>
    <w:rsid w:val="00D34B5A"/>
    <w:rsid w:val="00D40548"/>
    <w:rsid w:val="00D47675"/>
    <w:rsid w:val="00D51F4C"/>
    <w:rsid w:val="00D53CC1"/>
    <w:rsid w:val="00D56A0E"/>
    <w:rsid w:val="00D57AE6"/>
    <w:rsid w:val="00D70910"/>
    <w:rsid w:val="00D748FF"/>
    <w:rsid w:val="00D844AF"/>
    <w:rsid w:val="00D84A6B"/>
    <w:rsid w:val="00D84D54"/>
    <w:rsid w:val="00D92131"/>
    <w:rsid w:val="00D92503"/>
    <w:rsid w:val="00D92557"/>
    <w:rsid w:val="00D93B38"/>
    <w:rsid w:val="00D94181"/>
    <w:rsid w:val="00D9426F"/>
    <w:rsid w:val="00D94D52"/>
    <w:rsid w:val="00D95EE4"/>
    <w:rsid w:val="00DA133B"/>
    <w:rsid w:val="00DA16DC"/>
    <w:rsid w:val="00DA2642"/>
    <w:rsid w:val="00DB0B46"/>
    <w:rsid w:val="00DC1355"/>
    <w:rsid w:val="00DC4F0F"/>
    <w:rsid w:val="00DC7960"/>
    <w:rsid w:val="00DC7DFB"/>
    <w:rsid w:val="00DD2930"/>
    <w:rsid w:val="00DD3103"/>
    <w:rsid w:val="00DD61B8"/>
    <w:rsid w:val="00DF1FFB"/>
    <w:rsid w:val="00DF2F14"/>
    <w:rsid w:val="00E014ED"/>
    <w:rsid w:val="00E01A21"/>
    <w:rsid w:val="00E03D11"/>
    <w:rsid w:val="00E05715"/>
    <w:rsid w:val="00E15D9F"/>
    <w:rsid w:val="00E17E97"/>
    <w:rsid w:val="00E24EEC"/>
    <w:rsid w:val="00E449AB"/>
    <w:rsid w:val="00E44FFF"/>
    <w:rsid w:val="00E456C7"/>
    <w:rsid w:val="00E46319"/>
    <w:rsid w:val="00E5007C"/>
    <w:rsid w:val="00E545A0"/>
    <w:rsid w:val="00E555EB"/>
    <w:rsid w:val="00E60DF4"/>
    <w:rsid w:val="00E611FA"/>
    <w:rsid w:val="00E64C38"/>
    <w:rsid w:val="00E66577"/>
    <w:rsid w:val="00E66F45"/>
    <w:rsid w:val="00E71EE4"/>
    <w:rsid w:val="00E721FE"/>
    <w:rsid w:val="00E7279D"/>
    <w:rsid w:val="00E75A5E"/>
    <w:rsid w:val="00E86867"/>
    <w:rsid w:val="00E87582"/>
    <w:rsid w:val="00E87D9D"/>
    <w:rsid w:val="00E90472"/>
    <w:rsid w:val="00E916EE"/>
    <w:rsid w:val="00E93EEE"/>
    <w:rsid w:val="00E95552"/>
    <w:rsid w:val="00E97EA5"/>
    <w:rsid w:val="00EA55BC"/>
    <w:rsid w:val="00EB41F3"/>
    <w:rsid w:val="00EB6B1E"/>
    <w:rsid w:val="00EC1FB5"/>
    <w:rsid w:val="00EC21D3"/>
    <w:rsid w:val="00EC225D"/>
    <w:rsid w:val="00EC3435"/>
    <w:rsid w:val="00EC7A31"/>
    <w:rsid w:val="00ED2F75"/>
    <w:rsid w:val="00ED4963"/>
    <w:rsid w:val="00EE58A7"/>
    <w:rsid w:val="00EF1042"/>
    <w:rsid w:val="00EF14CE"/>
    <w:rsid w:val="00F07350"/>
    <w:rsid w:val="00F07849"/>
    <w:rsid w:val="00F14A25"/>
    <w:rsid w:val="00F23D83"/>
    <w:rsid w:val="00F245BF"/>
    <w:rsid w:val="00F25509"/>
    <w:rsid w:val="00F31864"/>
    <w:rsid w:val="00F33742"/>
    <w:rsid w:val="00F3684A"/>
    <w:rsid w:val="00F37027"/>
    <w:rsid w:val="00F37564"/>
    <w:rsid w:val="00F409C3"/>
    <w:rsid w:val="00F526F9"/>
    <w:rsid w:val="00F52BBF"/>
    <w:rsid w:val="00F54221"/>
    <w:rsid w:val="00F63438"/>
    <w:rsid w:val="00F6386F"/>
    <w:rsid w:val="00F650ED"/>
    <w:rsid w:val="00F663F5"/>
    <w:rsid w:val="00F66965"/>
    <w:rsid w:val="00F66F34"/>
    <w:rsid w:val="00F72F1C"/>
    <w:rsid w:val="00F74644"/>
    <w:rsid w:val="00F7598E"/>
    <w:rsid w:val="00F80247"/>
    <w:rsid w:val="00F82CA5"/>
    <w:rsid w:val="00F8348C"/>
    <w:rsid w:val="00F865CF"/>
    <w:rsid w:val="00F9089D"/>
    <w:rsid w:val="00F94BCC"/>
    <w:rsid w:val="00F952D6"/>
    <w:rsid w:val="00F9541A"/>
    <w:rsid w:val="00F95706"/>
    <w:rsid w:val="00F9689F"/>
    <w:rsid w:val="00FA37DD"/>
    <w:rsid w:val="00FA7F60"/>
    <w:rsid w:val="00FB2DA7"/>
    <w:rsid w:val="00FB5998"/>
    <w:rsid w:val="00FB7111"/>
    <w:rsid w:val="00FC5F39"/>
    <w:rsid w:val="00FC6E0E"/>
    <w:rsid w:val="00FD51BD"/>
    <w:rsid w:val="00FD7B29"/>
    <w:rsid w:val="00FE1EA8"/>
    <w:rsid w:val="00FE3BC6"/>
    <w:rsid w:val="00FF5DCF"/>
    <w:rsid w:val="00FF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865F595"/>
  <w15:chartTrackingRefBased/>
  <w15:docId w15:val="{FF67C9E5-6E95-4243-BC71-83E53742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45BF"/>
    <w:rPr>
      <w:color w:val="0000FF"/>
      <w:u w:val="single"/>
    </w:rPr>
  </w:style>
  <w:style w:type="paragraph" w:styleId="BalloonText">
    <w:name w:val="Balloon Text"/>
    <w:basedOn w:val="Normal"/>
    <w:semiHidden/>
    <w:rsid w:val="00426BC2"/>
    <w:rPr>
      <w:rFonts w:ascii="Tahoma" w:hAnsi="Tahoma" w:cs="Tahoma"/>
      <w:sz w:val="16"/>
      <w:szCs w:val="16"/>
    </w:rPr>
  </w:style>
  <w:style w:type="character" w:styleId="FollowedHyperlink">
    <w:name w:val="FollowedHyperlink"/>
    <w:rsid w:val="00B50365"/>
    <w:rPr>
      <w:color w:val="800080"/>
      <w:u w:val="single"/>
    </w:rPr>
  </w:style>
  <w:style w:type="paragraph" w:styleId="BodyText">
    <w:name w:val="Body Text"/>
    <w:basedOn w:val="Normal"/>
    <w:link w:val="BodyTextChar"/>
    <w:rsid w:val="009E21A0"/>
    <w:pPr>
      <w:spacing w:after="240"/>
    </w:pPr>
    <w:rPr>
      <w:szCs w:val="20"/>
    </w:rPr>
  </w:style>
  <w:style w:type="paragraph" w:customStyle="1" w:styleId="Default">
    <w:name w:val="Default"/>
    <w:rsid w:val="00E86867"/>
    <w:pPr>
      <w:autoSpaceDE w:val="0"/>
      <w:autoSpaceDN w:val="0"/>
      <w:adjustRightInd w:val="0"/>
    </w:pPr>
    <w:rPr>
      <w:color w:val="000000"/>
      <w:sz w:val="24"/>
      <w:szCs w:val="24"/>
    </w:rPr>
  </w:style>
  <w:style w:type="table" w:styleId="TableGrid">
    <w:name w:val="Table Grid"/>
    <w:basedOn w:val="TableNormal"/>
    <w:rsid w:val="00E50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456F2"/>
    <w:pPr>
      <w:spacing w:after="240"/>
    </w:pPr>
    <w:rPr>
      <w:szCs w:val="20"/>
    </w:rPr>
  </w:style>
  <w:style w:type="character" w:styleId="FootnoteReference">
    <w:name w:val="footnote reference"/>
    <w:rsid w:val="002456F2"/>
    <w:rPr>
      <w:vertAlign w:val="superscript"/>
    </w:rPr>
  </w:style>
  <w:style w:type="paragraph" w:styleId="Header">
    <w:name w:val="header"/>
    <w:basedOn w:val="Normal"/>
    <w:link w:val="HeaderChar"/>
    <w:rsid w:val="00C856D2"/>
    <w:pPr>
      <w:tabs>
        <w:tab w:val="center" w:pos="4680"/>
        <w:tab w:val="right" w:pos="9360"/>
      </w:tabs>
    </w:pPr>
  </w:style>
  <w:style w:type="character" w:customStyle="1" w:styleId="HeaderChar">
    <w:name w:val="Header Char"/>
    <w:link w:val="Header"/>
    <w:rsid w:val="00C856D2"/>
    <w:rPr>
      <w:sz w:val="24"/>
      <w:szCs w:val="24"/>
    </w:rPr>
  </w:style>
  <w:style w:type="paragraph" w:styleId="Footer">
    <w:name w:val="footer"/>
    <w:basedOn w:val="Normal"/>
    <w:link w:val="FooterChar"/>
    <w:rsid w:val="00C856D2"/>
    <w:pPr>
      <w:tabs>
        <w:tab w:val="center" w:pos="4680"/>
        <w:tab w:val="right" w:pos="9360"/>
      </w:tabs>
    </w:pPr>
  </w:style>
  <w:style w:type="character" w:customStyle="1" w:styleId="FooterChar">
    <w:name w:val="Footer Char"/>
    <w:link w:val="Footer"/>
    <w:rsid w:val="00C856D2"/>
    <w:rPr>
      <w:sz w:val="24"/>
      <w:szCs w:val="24"/>
    </w:rPr>
  </w:style>
  <w:style w:type="character" w:customStyle="1" w:styleId="BodyTextChar">
    <w:name w:val="Body Text Char"/>
    <w:link w:val="BodyText"/>
    <w:rsid w:val="00C45D3E"/>
    <w:rPr>
      <w:sz w:val="24"/>
    </w:rPr>
  </w:style>
  <w:style w:type="character" w:customStyle="1" w:styleId="FootnoteTextChar">
    <w:name w:val="Footnote Text Char"/>
    <w:link w:val="FootnoteText"/>
    <w:semiHidden/>
    <w:rsid w:val="00C45D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76295">
      <w:bodyDiv w:val="1"/>
      <w:marLeft w:val="0"/>
      <w:marRight w:val="0"/>
      <w:marTop w:val="0"/>
      <w:marBottom w:val="0"/>
      <w:divBdr>
        <w:top w:val="none" w:sz="0" w:space="0" w:color="auto"/>
        <w:left w:val="none" w:sz="0" w:space="0" w:color="auto"/>
        <w:bottom w:val="none" w:sz="0" w:space="0" w:color="auto"/>
        <w:right w:val="none" w:sz="0" w:space="0" w:color="auto"/>
      </w:divBdr>
    </w:div>
    <w:div w:id="1693065684">
      <w:bodyDiv w:val="1"/>
      <w:marLeft w:val="0"/>
      <w:marRight w:val="0"/>
      <w:marTop w:val="0"/>
      <w:marBottom w:val="0"/>
      <w:divBdr>
        <w:top w:val="none" w:sz="0" w:space="0" w:color="auto"/>
        <w:left w:val="none" w:sz="0" w:space="0" w:color="auto"/>
        <w:bottom w:val="none" w:sz="0" w:space="0" w:color="auto"/>
        <w:right w:val="none" w:sz="0" w:space="0" w:color="auto"/>
      </w:divBdr>
      <w:divsChild>
        <w:div w:id="2032106814">
          <w:marLeft w:val="0"/>
          <w:marRight w:val="0"/>
          <w:marTop w:val="0"/>
          <w:marBottom w:val="0"/>
          <w:divBdr>
            <w:top w:val="none" w:sz="0" w:space="0" w:color="auto"/>
            <w:left w:val="none" w:sz="0" w:space="0" w:color="auto"/>
            <w:bottom w:val="none" w:sz="0" w:space="0" w:color="auto"/>
            <w:right w:val="none" w:sz="0" w:space="0" w:color="auto"/>
          </w:divBdr>
          <w:divsChild>
            <w:div w:id="719474156">
              <w:marLeft w:val="0"/>
              <w:marRight w:val="0"/>
              <w:marTop w:val="0"/>
              <w:marBottom w:val="0"/>
              <w:divBdr>
                <w:top w:val="none" w:sz="0" w:space="0" w:color="auto"/>
                <w:left w:val="none" w:sz="0" w:space="0" w:color="auto"/>
                <w:bottom w:val="none" w:sz="0" w:space="0" w:color="auto"/>
                <w:right w:val="none" w:sz="0" w:space="0" w:color="auto"/>
              </w:divBdr>
              <w:divsChild>
                <w:div w:id="21405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Retail%20Product%20Management\Closed%20End%20Funds\PDT\PDT%2019(a)%20Notice%2007.31.23%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PDT 19(a) Notice 07.31.23 v2</Template>
  <TotalTime>12</TotalTime>
  <Pages>3</Pages>
  <Words>956</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John Hancock</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Haight, Richard</dc:creator>
  <cp:keywords> </cp:keywords>
  <cp:lastModifiedBy>Richard Haight</cp:lastModifiedBy>
  <cp:revision>3</cp:revision>
  <cp:lastPrinted>2023-07-31T14:31:00Z</cp:lastPrinted>
  <dcterms:created xsi:type="dcterms:W3CDTF">2024-05-28T14:01:00Z</dcterms:created>
  <dcterms:modified xsi:type="dcterms:W3CDTF">2024-05-28T14:12:00Z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d5db4b-78fb-42ac-8616-2bbd1a698c72_Enabled">
    <vt:lpwstr>true</vt:lpwstr>
  </property>
  <property fmtid="{D5CDD505-2E9C-101B-9397-08002B2CF9AE}" pid="3" name="MSIP_Label_0dd5db4b-78fb-42ac-8616-2bbd1a698c72_SetDate">
    <vt:lpwstr>2021-09-28T13:03:03Z</vt:lpwstr>
  </property>
  <property fmtid="{D5CDD505-2E9C-101B-9397-08002B2CF9AE}" pid="4" name="MSIP_Label_0dd5db4b-78fb-42ac-8616-2bbd1a698c72_Method">
    <vt:lpwstr>Privileged</vt:lpwstr>
  </property>
  <property fmtid="{D5CDD505-2E9C-101B-9397-08002B2CF9AE}" pid="5" name="MSIP_Label_0dd5db4b-78fb-42ac-8616-2bbd1a698c72_Name">
    <vt:lpwstr>EXTERNAL</vt:lpwstr>
  </property>
  <property fmtid="{D5CDD505-2E9C-101B-9397-08002B2CF9AE}" pid="6" name="MSIP_Label_0dd5db4b-78fb-42ac-8616-2bbd1a698c72_SiteId">
    <vt:lpwstr>5d3e2773-e07f-4432-a630-1a0f68a28a05</vt:lpwstr>
  </property>
  <property fmtid="{D5CDD505-2E9C-101B-9397-08002B2CF9AE}" pid="7" name="MSIP_Label_0dd5db4b-78fb-42ac-8616-2bbd1a698c72_ActionId">
    <vt:lpwstr>88dabb56-44eb-4f6d-bf5a-147864b0dbb4</vt:lpwstr>
  </property>
  <property fmtid="{D5CDD505-2E9C-101B-9397-08002B2CF9AE}" pid="8" name="MSIP_Label_0dd5db4b-78fb-42ac-8616-2bbd1a698c72_ContentBits">
    <vt:lpwstr>0</vt:lpwstr>
  </property>
</Properties>
</file>